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lang w:val="en-US" w:eastAsia="zh-CN"/>
          <w14:textFill>
            <w14:solidFill>
              <w14:schemeClr w14:val="tx1"/>
            </w14:solidFill>
          </w14:textFill>
        </w:rPr>
        <w:t xml:space="preserve">      </w:t>
      </w: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pPr>
        <w:spacing w:line="360" w:lineRule="auto"/>
        <w:ind w:firstLine="1303" w:firstLineChars="543"/>
        <w:rPr>
          <w:rFonts w:hint="eastAsia" w:ascii="宋体" w:hAnsi="宋体"/>
          <w:color w:val="000000" w:themeColor="text1"/>
          <w:sz w:val="24"/>
          <w:szCs w:val="24"/>
          <w:highlight w:val="none"/>
          <w14:textFill>
            <w14:solidFill>
              <w14:schemeClr w14:val="tx1"/>
            </w14:solidFill>
          </w14:textFill>
        </w:rPr>
      </w:pPr>
    </w:p>
    <w:p>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pPr>
        <w:spacing w:line="360" w:lineRule="auto"/>
        <w:ind w:firstLine="1966" w:firstLineChars="445"/>
        <w:rPr>
          <w:rFonts w:hint="eastAsia" w:ascii="宋体" w:hAnsi="宋体"/>
          <w:b/>
          <w:color w:val="000000" w:themeColor="text1"/>
          <w:sz w:val="44"/>
          <w:highlight w:val="none"/>
          <w14:textFill>
            <w14:solidFill>
              <w14:schemeClr w14:val="tx1"/>
            </w14:solidFill>
          </w14:textFill>
        </w:rPr>
      </w:pPr>
    </w:p>
    <w:p>
      <w:pPr>
        <w:spacing w:line="360" w:lineRule="auto"/>
        <w:outlineLvl w:val="9"/>
        <w:rPr>
          <w:rFonts w:hint="eastAsia" w:ascii="宋体" w:hAnsi="宋体" w:eastAsia="宋体"/>
          <w:b/>
          <w:color w:val="000000" w:themeColor="text1"/>
          <w:sz w:val="44"/>
          <w:szCs w:val="44"/>
          <w:highlight w:val="none"/>
          <w:lang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w:t>
      </w:r>
      <w:bookmarkStart w:id="0" w:name="_Toc22795"/>
      <w:r>
        <w:rPr>
          <w:rFonts w:hint="eastAsia" w:ascii="宋体" w:hAnsi="宋体"/>
          <w:b/>
          <w:color w:val="000000" w:themeColor="text1"/>
          <w:sz w:val="44"/>
          <w:szCs w:val="44"/>
          <w:highlight w:val="none"/>
          <w14:textFill>
            <w14:solidFill>
              <w14:schemeClr w14:val="tx1"/>
            </w14:solidFill>
          </w14:textFill>
        </w:rPr>
        <w:t>项目编号：</w:t>
      </w:r>
      <w:bookmarkEnd w:id="0"/>
      <w:r>
        <w:rPr>
          <w:rFonts w:hint="eastAsia" w:ascii="宋体" w:hAnsi="宋体"/>
          <w:b/>
          <w:bCs/>
          <w:color w:val="000000" w:themeColor="text1"/>
          <w:sz w:val="44"/>
          <w:szCs w:val="44"/>
          <w:highlight w:val="none"/>
          <w:lang w:eastAsia="zh-CN"/>
          <w14:textFill>
            <w14:solidFill>
              <w14:schemeClr w14:val="tx1"/>
            </w14:solidFill>
          </w14:textFill>
        </w:rPr>
        <w:t>XM2024-TZ5080</w:t>
      </w:r>
    </w:p>
    <w:p>
      <w:pPr>
        <w:spacing w:line="360" w:lineRule="auto"/>
        <w:outlineLvl w:val="9"/>
        <w:rPr>
          <w:rFonts w:hint="eastAsia" w:ascii="宋体" w:hAnsi="宋体" w:eastAsia="宋体"/>
          <w:b/>
          <w:color w:val="000000" w:themeColor="text1"/>
          <w:sz w:val="44"/>
          <w:highlight w:val="none"/>
          <w:lang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bookmarkStart w:id="1" w:name="_Toc26682"/>
      <w:r>
        <w:rPr>
          <w:rFonts w:hint="eastAsia" w:ascii="宋体" w:hAnsi="宋体"/>
          <w:b/>
          <w:color w:val="000000" w:themeColor="text1"/>
          <w:sz w:val="44"/>
          <w:highlight w:val="none"/>
          <w14:textFill>
            <w14:solidFill>
              <w14:schemeClr w14:val="tx1"/>
            </w14:solidFill>
          </w14:textFill>
        </w:rPr>
        <w:t>项目名称：</w:t>
      </w:r>
      <w:bookmarkEnd w:id="1"/>
      <w:r>
        <w:rPr>
          <w:rFonts w:hint="eastAsia" w:ascii="宋体" w:hAnsi="宋体"/>
          <w:b/>
          <w:color w:val="000000" w:themeColor="text1"/>
          <w:sz w:val="44"/>
          <w:highlight w:val="none"/>
          <w:lang w:eastAsia="zh-CN"/>
          <w14:textFill>
            <w14:solidFill>
              <w14:schemeClr w14:val="tx1"/>
            </w14:solidFill>
          </w14:textFill>
        </w:rPr>
        <w:t>电子天平</w:t>
      </w:r>
    </w:p>
    <w:p>
      <w:pPr>
        <w:spacing w:line="360" w:lineRule="auto"/>
        <w:jc w:val="center"/>
        <w:rPr>
          <w:rFonts w:hint="eastAsia" w:ascii="宋体" w:hAnsi="宋体"/>
          <w:b/>
          <w:color w:val="000000" w:themeColor="text1"/>
          <w:sz w:val="44"/>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outlineLvl w:val="9"/>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bookmarkStart w:id="2" w:name="_Toc8311"/>
      <w:r>
        <w:rPr>
          <w:rFonts w:hint="eastAsia" w:ascii="宋体" w:hAnsi="宋体"/>
          <w:b/>
          <w:color w:val="000000" w:themeColor="text1"/>
          <w:sz w:val="32"/>
          <w:szCs w:val="32"/>
          <w:highlight w:val="none"/>
          <w14:textFill>
            <w14:solidFill>
              <w14:schemeClr w14:val="tx1"/>
            </w14:solidFill>
          </w14:textFill>
        </w:rPr>
        <w:t>采  购  人 ：厦门市食品药品质量检验研究院</w:t>
      </w:r>
      <w:bookmarkEnd w:id="2"/>
    </w:p>
    <w:p>
      <w:pPr>
        <w:spacing w:line="360" w:lineRule="auto"/>
        <w:outlineLvl w:val="9"/>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bookmarkStart w:id="3" w:name="_Toc8153"/>
      <w:r>
        <w:rPr>
          <w:rFonts w:hint="eastAsia" w:ascii="宋体" w:hAnsi="宋体"/>
          <w:b/>
          <w:color w:val="000000" w:themeColor="text1"/>
          <w:sz w:val="32"/>
          <w:szCs w:val="32"/>
          <w:highlight w:val="none"/>
          <w14:textFill>
            <w14:solidFill>
              <w14:schemeClr w14:val="tx1"/>
            </w14:solidFill>
          </w14:textFill>
        </w:rPr>
        <w:t>采购代理机构：</w:t>
      </w:r>
      <w:r>
        <w:rPr>
          <w:rFonts w:hint="eastAsia" w:ascii="宋体" w:hAnsi="宋体"/>
          <w:b/>
          <w:bCs/>
          <w:color w:val="000000" w:themeColor="text1"/>
          <w:sz w:val="32"/>
          <w:highlight w:val="none"/>
          <w14:textFill>
            <w14:solidFill>
              <w14:schemeClr w14:val="tx1"/>
            </w14:solidFill>
          </w14:textFill>
        </w:rPr>
        <w:t>厦门万翔招标有限公司</w:t>
      </w:r>
      <w:bookmarkEnd w:id="3"/>
    </w:p>
    <w:p>
      <w:pPr>
        <w:spacing w:line="360" w:lineRule="auto"/>
        <w:jc w:val="both"/>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2024</w:t>
      </w:r>
      <w:r>
        <w:rPr>
          <w:rFonts w:hint="eastAsia" w:ascii="宋体" w:hAnsi="宋体"/>
          <w:b/>
          <w:color w:val="000000" w:themeColor="text1"/>
          <w:sz w:val="36"/>
          <w:szCs w:val="36"/>
          <w:highlight w:val="none"/>
          <w14:textFill>
            <w14:solidFill>
              <w14:schemeClr w14:val="tx1"/>
            </w14:solidFill>
          </w14:textFill>
        </w:rPr>
        <w:t>年</w:t>
      </w:r>
    </w:p>
    <w:p>
      <w:pPr>
        <w:spacing w:line="360" w:lineRule="auto"/>
        <w:jc w:val="center"/>
        <w:rPr>
          <w:rFonts w:hint="eastAsia" w:ascii="宋体" w:hAnsi="宋体"/>
          <w:b/>
          <w:color w:val="000000" w:themeColor="text1"/>
          <w:sz w:val="36"/>
          <w:szCs w:val="36"/>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目   录</w:t>
      </w:r>
    </w:p>
    <w:sdt>
      <w:sdtPr>
        <w:rPr>
          <w:rFonts w:ascii="宋体" w:hAnsi="宋体" w:eastAsia="宋体" w:cs="Times New Roman"/>
          <w:color w:val="000000" w:themeColor="text1"/>
          <w:kern w:val="2"/>
          <w:sz w:val="21"/>
          <w:szCs w:val="22"/>
          <w:highlight w:val="none"/>
          <w:lang w:val="en-US" w:eastAsia="zh-CN" w:bidi="ar-SA"/>
          <w14:textFill>
            <w14:solidFill>
              <w14:schemeClr w14:val="tx1"/>
            </w14:solidFill>
          </w14:textFill>
        </w:rPr>
        <w:id w:val="147465269"/>
        <w15:color w:val="DBDBDB"/>
        <w:docPartObj>
          <w:docPartGallery w:val="Table of Contents"/>
          <w:docPartUnique/>
        </w:docPartObj>
      </w:sdtPr>
      <w:sdtEndP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sdtEndPr>
      <w:sdtContent>
        <w:p>
          <w:pPr>
            <w:spacing w:line="360" w:lineRule="auto"/>
            <w:jc w:val="center"/>
            <w:outlineLvl w:val="9"/>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b/>
              <w:bCs/>
              <w:color w:val="000000" w:themeColor="text1"/>
              <w:sz w:val="24"/>
              <w:szCs w:val="24"/>
              <w:highlight w:val="none"/>
              <w14:textFill>
                <w14:solidFill>
                  <w14:schemeClr w14:val="tx1"/>
                </w14:solidFill>
              </w14:textFill>
            </w:rPr>
            <w:fldChar w:fldCharType="separate"/>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32"/>
              <w:highlight w:val="none"/>
              <w14:textFill>
                <w14:solidFill>
                  <w14:schemeClr w14:val="tx1"/>
                </w14:solidFill>
              </w14:textFill>
            </w:rPr>
          </w:pP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HYPERLINK \l _Toc27551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40"/>
              <w:highlight w:val="none"/>
              <w14:textFill>
                <w14:solidFill>
                  <w14:schemeClr w14:val="tx1"/>
                </w14:solidFill>
              </w14:textFill>
            </w:rPr>
            <w:t>第一章  磋商邀请</w:t>
          </w:r>
          <w:r>
            <w:rPr>
              <w:rFonts w:hint="eastAsia" w:ascii="宋体" w:hAnsi="宋体" w:eastAsia="宋体" w:cs="宋体"/>
              <w:b/>
              <w:bCs w:val="0"/>
              <w:color w:val="000000" w:themeColor="text1"/>
              <w:sz w:val="24"/>
              <w:szCs w:val="32"/>
              <w:highlight w:val="none"/>
              <w14:textFill>
                <w14:solidFill>
                  <w14:schemeClr w14:val="tx1"/>
                </w14:solidFill>
              </w14:textFill>
            </w:rPr>
            <w:tab/>
          </w: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PAGEREF _Toc27551 \h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32"/>
              <w:highlight w:val="none"/>
              <w14:textFill>
                <w14:solidFill>
                  <w14:schemeClr w14:val="tx1"/>
                </w14:solidFill>
              </w14:textFill>
            </w:rPr>
            <w:t>4</w:t>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32"/>
              <w:highlight w:val="none"/>
              <w14:textFill>
                <w14:solidFill>
                  <w14:schemeClr w14:val="tx1"/>
                </w14:solidFill>
              </w14:textFill>
            </w:rPr>
          </w:pP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HYPERLINK \l _Toc4309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40"/>
              <w:highlight w:val="none"/>
              <w14:textFill>
                <w14:solidFill>
                  <w14:schemeClr w14:val="tx1"/>
                </w14:solidFill>
              </w14:textFill>
            </w:rPr>
            <w:t>第二章  报价人须知</w:t>
          </w:r>
          <w:r>
            <w:rPr>
              <w:rFonts w:hint="eastAsia" w:ascii="宋体" w:hAnsi="宋体" w:eastAsia="宋体" w:cs="宋体"/>
              <w:b/>
              <w:bCs w:val="0"/>
              <w:color w:val="000000" w:themeColor="text1"/>
              <w:sz w:val="24"/>
              <w:szCs w:val="32"/>
              <w:highlight w:val="none"/>
              <w14:textFill>
                <w14:solidFill>
                  <w14:schemeClr w14:val="tx1"/>
                </w14:solidFill>
              </w14:textFill>
            </w:rPr>
            <w:tab/>
          </w: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PAGEREF _Toc4309 \h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32"/>
              <w:highlight w:val="none"/>
              <w14:textFill>
                <w14:solidFill>
                  <w14:schemeClr w14:val="tx1"/>
                </w14:solidFill>
              </w14:textFill>
            </w:rPr>
            <w:t>7</w:t>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_Toc32687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Cs/>
              <w:color w:val="000000" w:themeColor="text1"/>
              <w:sz w:val="24"/>
              <w:szCs w:val="40"/>
              <w:highlight w:val="none"/>
              <w14:textFill>
                <w14:solidFill>
                  <w14:schemeClr w14:val="tx1"/>
                </w14:solidFill>
              </w14:textFill>
            </w:rPr>
            <w:t>报价人须知前附表1</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_Toc32687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8</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_Toc18656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Cs/>
              <w:color w:val="000000" w:themeColor="text1"/>
              <w:sz w:val="24"/>
              <w:szCs w:val="40"/>
              <w:highlight w:val="none"/>
              <w14:textFill>
                <w14:solidFill>
                  <w14:schemeClr w14:val="tx1"/>
                </w14:solidFill>
              </w14:textFill>
            </w:rPr>
            <w:t>报价人须知前附表2</w:t>
          </w:r>
          <w:r>
            <w:rPr>
              <w:rFonts w:hint="eastAsia" w:ascii="宋体" w:hAnsi="宋体" w:eastAsia="宋体" w:cs="宋体"/>
              <w:bCs/>
              <w:color w:val="000000" w:themeColor="text1"/>
              <w:sz w:val="24"/>
              <w:szCs w:val="40"/>
              <w:highlight w:val="none"/>
              <w:lang w:eastAsia="zh-CN"/>
              <w14:textFill>
                <w14:solidFill>
                  <w14:schemeClr w14:val="tx1"/>
                </w14:solidFill>
              </w14:textFill>
            </w:rPr>
            <w:t>：</w:t>
          </w:r>
          <w:r>
            <w:rPr>
              <w:rFonts w:hint="eastAsia" w:ascii="宋体" w:hAnsi="宋体" w:eastAsia="宋体" w:cs="宋体"/>
              <w:bCs/>
              <w:color w:val="000000" w:themeColor="text1"/>
              <w:sz w:val="24"/>
              <w:szCs w:val="40"/>
              <w:highlight w:val="none"/>
              <w14:textFill>
                <w14:solidFill>
                  <w14:schemeClr w14:val="tx1"/>
                </w14:solidFill>
              </w14:textFill>
            </w:rPr>
            <w:t>资格性、符合性检查表</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_Toc18656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9</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_Toc29061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报价人须知前附表3：磋商规则、评审标准</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_Toc29061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17</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_Toc32595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报价人须知前附表4：中小企业及监狱企业优惠办法</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_Toc32595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24</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_Toc7825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Cs/>
              <w:color w:val="000000" w:themeColor="text1"/>
              <w:sz w:val="24"/>
              <w:szCs w:val="40"/>
              <w:highlight w:val="none"/>
              <w14:textFill>
                <w14:solidFill>
                  <w14:schemeClr w14:val="tx1"/>
                </w14:solidFill>
              </w14:textFill>
            </w:rPr>
            <w:t>报价人须知前附表5：节能、环境标志产品采购政策</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_Toc7825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27</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_Toc20195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一、说明</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_Toc20195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28</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_Toc14652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二、采购文件</w:t>
          </w:r>
          <w:r>
            <w:rPr>
              <w:rFonts w:hint="eastAsia" w:ascii="宋体" w:hAnsi="宋体" w:eastAsia="宋体" w:cs="宋体"/>
              <w:color w:val="000000" w:themeColor="text1"/>
              <w:sz w:val="24"/>
              <w:szCs w:val="32"/>
              <w:highlight w:val="none"/>
              <w14:textFill>
                <w14:solidFill>
                  <w14:schemeClr w14:val="tx1"/>
                </w14:solidFill>
              </w14:textFill>
            </w:rPr>
            <w:tab/>
          </w:r>
          <w:r>
            <w:rPr>
              <w:rFonts w:hint="eastAsia" w:ascii="宋体" w:hAnsi="宋体" w:eastAsia="宋体" w:cs="宋体"/>
              <w:color w:val="000000" w:themeColor="text1"/>
              <w:sz w:val="24"/>
              <w:szCs w:val="32"/>
              <w:highlight w:val="none"/>
              <w14:textFill>
                <w14:solidFill>
                  <w14:schemeClr w14:val="tx1"/>
                </w14:solidFill>
              </w14:textFill>
            </w:rPr>
            <w:fldChar w:fldCharType="begin"/>
          </w:r>
          <w:r>
            <w:rPr>
              <w:rFonts w:hint="eastAsia" w:ascii="宋体" w:hAnsi="宋体" w:eastAsia="宋体" w:cs="宋体"/>
              <w:color w:val="000000" w:themeColor="text1"/>
              <w:sz w:val="24"/>
              <w:szCs w:val="32"/>
              <w:highlight w:val="none"/>
              <w14:textFill>
                <w14:solidFill>
                  <w14:schemeClr w14:val="tx1"/>
                </w14:solidFill>
              </w14:textFill>
            </w:rPr>
            <w:instrText xml:space="preserve"> PAGEREF _Toc14652 \h </w:instrText>
          </w:r>
          <w:r>
            <w:rPr>
              <w:rFonts w:hint="eastAsia" w:ascii="宋体" w:hAnsi="宋体" w:eastAsia="宋体" w:cs="宋体"/>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31</w:t>
          </w:r>
          <w:r>
            <w:rPr>
              <w:rFonts w:hint="eastAsia" w:ascii="宋体" w:hAnsi="宋体" w:eastAsia="宋体" w:cs="宋体"/>
              <w:color w:val="000000" w:themeColor="text1"/>
              <w:sz w:val="24"/>
              <w:szCs w:val="32"/>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_Toc22513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三、报价文件的编写</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_Toc22513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32</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_Toc335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四、报价文件的提交</w:t>
          </w:r>
          <w:r>
            <w:rPr>
              <w:rFonts w:hint="eastAsia" w:ascii="宋体" w:hAnsi="宋体" w:eastAsia="宋体" w:cs="宋体"/>
              <w:color w:val="000000" w:themeColor="text1"/>
              <w:sz w:val="24"/>
              <w:szCs w:val="32"/>
              <w:highlight w:val="none"/>
              <w14:textFill>
                <w14:solidFill>
                  <w14:schemeClr w14:val="tx1"/>
                </w14:solidFill>
              </w14:textFill>
            </w:rPr>
            <w:tab/>
          </w:r>
          <w:r>
            <w:rPr>
              <w:rFonts w:hint="eastAsia" w:ascii="宋体" w:hAnsi="宋体" w:eastAsia="宋体" w:cs="宋体"/>
              <w:color w:val="000000" w:themeColor="text1"/>
              <w:sz w:val="24"/>
              <w:szCs w:val="32"/>
              <w:highlight w:val="none"/>
              <w14:textFill>
                <w14:solidFill>
                  <w14:schemeClr w14:val="tx1"/>
                </w14:solidFill>
              </w14:textFill>
            </w:rPr>
            <w:fldChar w:fldCharType="begin"/>
          </w:r>
          <w:r>
            <w:rPr>
              <w:rFonts w:hint="eastAsia" w:ascii="宋体" w:hAnsi="宋体" w:eastAsia="宋体" w:cs="宋体"/>
              <w:color w:val="000000" w:themeColor="text1"/>
              <w:sz w:val="24"/>
              <w:szCs w:val="32"/>
              <w:highlight w:val="none"/>
              <w14:textFill>
                <w14:solidFill>
                  <w14:schemeClr w14:val="tx1"/>
                </w14:solidFill>
              </w14:textFill>
            </w:rPr>
            <w:instrText xml:space="preserve"> PAGEREF _Toc335 \h </w:instrText>
          </w:r>
          <w:r>
            <w:rPr>
              <w:rFonts w:hint="eastAsia" w:ascii="宋体" w:hAnsi="宋体" w:eastAsia="宋体" w:cs="宋体"/>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35</w:t>
          </w:r>
          <w:r>
            <w:rPr>
              <w:rFonts w:hint="eastAsia" w:ascii="宋体" w:hAnsi="宋体" w:eastAsia="宋体" w:cs="宋体"/>
              <w:color w:val="000000" w:themeColor="text1"/>
              <w:sz w:val="24"/>
              <w:szCs w:val="32"/>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_Toc11443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五、报价文件的评估和比较</w:t>
          </w:r>
          <w:r>
            <w:rPr>
              <w:rFonts w:hint="eastAsia" w:ascii="宋体" w:hAnsi="宋体" w:eastAsia="宋体" w:cs="宋体"/>
              <w:color w:val="000000" w:themeColor="text1"/>
              <w:sz w:val="24"/>
              <w:szCs w:val="32"/>
              <w:highlight w:val="none"/>
              <w14:textFill>
                <w14:solidFill>
                  <w14:schemeClr w14:val="tx1"/>
                </w14:solidFill>
              </w14:textFill>
            </w:rPr>
            <w:tab/>
          </w:r>
          <w:r>
            <w:rPr>
              <w:rFonts w:hint="eastAsia" w:ascii="宋体" w:hAnsi="宋体" w:eastAsia="宋体" w:cs="宋体"/>
              <w:color w:val="000000" w:themeColor="text1"/>
              <w:sz w:val="24"/>
              <w:szCs w:val="32"/>
              <w:highlight w:val="none"/>
              <w14:textFill>
                <w14:solidFill>
                  <w14:schemeClr w14:val="tx1"/>
                </w14:solidFill>
              </w14:textFill>
            </w:rPr>
            <w:fldChar w:fldCharType="begin"/>
          </w:r>
          <w:r>
            <w:rPr>
              <w:rFonts w:hint="eastAsia" w:ascii="宋体" w:hAnsi="宋体" w:eastAsia="宋体" w:cs="宋体"/>
              <w:color w:val="000000" w:themeColor="text1"/>
              <w:sz w:val="24"/>
              <w:szCs w:val="32"/>
              <w:highlight w:val="none"/>
              <w14:textFill>
                <w14:solidFill>
                  <w14:schemeClr w14:val="tx1"/>
                </w14:solidFill>
              </w14:textFill>
            </w:rPr>
            <w:instrText xml:space="preserve"> PAGEREF _Toc11443 \h </w:instrText>
          </w:r>
          <w:r>
            <w:rPr>
              <w:rFonts w:hint="eastAsia" w:ascii="宋体" w:hAnsi="宋体" w:eastAsia="宋体" w:cs="宋体"/>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36</w:t>
          </w:r>
          <w:r>
            <w:rPr>
              <w:rFonts w:hint="eastAsia" w:ascii="宋体" w:hAnsi="宋体" w:eastAsia="宋体" w:cs="宋体"/>
              <w:color w:val="000000" w:themeColor="text1"/>
              <w:sz w:val="24"/>
              <w:szCs w:val="32"/>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_Toc21517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40"/>
              <w:highlight w:val="none"/>
              <w14:textFill>
                <w14:solidFill>
                  <w14:schemeClr w14:val="tx1"/>
                </w14:solidFill>
              </w14:textFill>
            </w:rPr>
            <w:t>六、成交与签订合同</w:t>
          </w:r>
          <w:r>
            <w:rPr>
              <w:rFonts w:hint="eastAsia" w:ascii="宋体" w:hAnsi="宋体" w:eastAsia="宋体" w:cs="宋体"/>
              <w:color w:val="000000" w:themeColor="text1"/>
              <w:sz w:val="24"/>
              <w:szCs w:val="32"/>
              <w:highlight w:val="none"/>
              <w14:textFill>
                <w14:solidFill>
                  <w14:schemeClr w14:val="tx1"/>
                </w14:solidFill>
              </w14:textFill>
            </w:rPr>
            <w:tab/>
          </w:r>
          <w:r>
            <w:rPr>
              <w:rFonts w:hint="eastAsia" w:ascii="宋体" w:hAnsi="宋体" w:eastAsia="宋体" w:cs="宋体"/>
              <w:color w:val="000000" w:themeColor="text1"/>
              <w:sz w:val="24"/>
              <w:szCs w:val="32"/>
              <w:highlight w:val="none"/>
              <w14:textFill>
                <w14:solidFill>
                  <w14:schemeClr w14:val="tx1"/>
                </w14:solidFill>
              </w14:textFill>
            </w:rPr>
            <w:fldChar w:fldCharType="begin"/>
          </w:r>
          <w:r>
            <w:rPr>
              <w:rFonts w:hint="eastAsia" w:ascii="宋体" w:hAnsi="宋体" w:eastAsia="宋体" w:cs="宋体"/>
              <w:color w:val="000000" w:themeColor="text1"/>
              <w:sz w:val="24"/>
              <w:szCs w:val="32"/>
              <w:highlight w:val="none"/>
              <w14:textFill>
                <w14:solidFill>
                  <w14:schemeClr w14:val="tx1"/>
                </w14:solidFill>
              </w14:textFill>
            </w:rPr>
            <w:instrText xml:space="preserve"> PAGEREF _Toc21517 \h </w:instrText>
          </w:r>
          <w:r>
            <w:rPr>
              <w:rFonts w:hint="eastAsia" w:ascii="宋体" w:hAnsi="宋体" w:eastAsia="宋体" w:cs="宋体"/>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39</w:t>
          </w:r>
          <w:r>
            <w:rPr>
              <w:rFonts w:hint="eastAsia" w:ascii="宋体" w:hAnsi="宋体" w:eastAsia="宋体" w:cs="宋体"/>
              <w:color w:val="000000" w:themeColor="text1"/>
              <w:sz w:val="24"/>
              <w:szCs w:val="32"/>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32"/>
              <w:highlight w:val="none"/>
              <w14:textFill>
                <w14:solidFill>
                  <w14:schemeClr w14:val="tx1"/>
                </w14:solidFill>
              </w14:textFill>
            </w:rPr>
          </w:pP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HYPERLINK \l _Toc30657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40"/>
              <w:highlight w:val="none"/>
              <w14:textFill>
                <w14:solidFill>
                  <w14:schemeClr w14:val="tx1"/>
                </w14:solidFill>
              </w14:textFill>
            </w:rPr>
            <w:t>第三章  磋商内容及要求</w:t>
          </w:r>
          <w:r>
            <w:rPr>
              <w:rFonts w:hint="eastAsia" w:ascii="宋体" w:hAnsi="宋体" w:eastAsia="宋体" w:cs="宋体"/>
              <w:b/>
              <w:bCs w:val="0"/>
              <w:color w:val="000000" w:themeColor="text1"/>
              <w:sz w:val="24"/>
              <w:szCs w:val="32"/>
              <w:highlight w:val="none"/>
              <w14:textFill>
                <w14:solidFill>
                  <w14:schemeClr w14:val="tx1"/>
                </w14:solidFill>
              </w14:textFill>
            </w:rPr>
            <w:tab/>
          </w: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PAGEREF _Toc30657 \h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32"/>
              <w:highlight w:val="none"/>
              <w14:textFill>
                <w14:solidFill>
                  <w14:schemeClr w14:val="tx1"/>
                </w14:solidFill>
              </w14:textFill>
            </w:rPr>
            <w:t>41</w:t>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_Toc23630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一、仪器检测原理</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_Toc23630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41</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_Toc10461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二、各项配置的技术要求</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_Toc10461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41</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_Toc22780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三、资格证明文件</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_Toc22780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42</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_Toc14825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bCs w:val="0"/>
              <w:color w:val="000000" w:themeColor="text1"/>
              <w:kern w:val="0"/>
              <w:sz w:val="24"/>
              <w:szCs w:val="32"/>
              <w:highlight w:val="none"/>
              <w14:textFill>
                <w14:solidFill>
                  <w14:schemeClr w14:val="tx1"/>
                </w14:solidFill>
              </w14:textFill>
            </w:rPr>
            <w:t>四、报价要求</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_Toc14825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43</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_Toc27447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五、</w:t>
          </w:r>
          <w:r>
            <w:rPr>
              <w:rFonts w:hint="eastAsia" w:ascii="宋体" w:hAnsi="宋体" w:eastAsia="宋体" w:cs="宋体"/>
              <w:color w:val="000000" w:themeColor="text1"/>
              <w:sz w:val="24"/>
              <w:szCs w:val="32"/>
              <w:highlight w:val="none"/>
              <w:lang w:val="en-US" w:eastAsia="zh-CN"/>
              <w14:textFill>
                <w14:solidFill>
                  <w14:schemeClr w14:val="tx1"/>
                </w14:solidFill>
              </w14:textFill>
            </w:rPr>
            <w:t>商务要求</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_Toc27447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43</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1"/>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32"/>
              <w:highlight w:val="none"/>
              <w14:textFill>
                <w14:solidFill>
                  <w14:schemeClr w14:val="tx1"/>
                </w14:solidFill>
              </w14:textFill>
            </w:rPr>
            <w:fldChar w:fldCharType="begin"/>
          </w:r>
          <w:r>
            <w:rPr>
              <w:rFonts w:hint="eastAsia" w:ascii="宋体" w:hAnsi="宋体" w:eastAsia="宋体" w:cs="宋体"/>
              <w:bCs/>
              <w:color w:val="000000" w:themeColor="text1"/>
              <w:sz w:val="24"/>
              <w:szCs w:val="32"/>
              <w:highlight w:val="none"/>
              <w14:textFill>
                <w14:solidFill>
                  <w14:schemeClr w14:val="tx1"/>
                </w14:solidFill>
              </w14:textFill>
            </w:rPr>
            <w:instrText xml:space="preserve"> HYPERLINK \l _Toc9022 </w:instrText>
          </w:r>
          <w:r>
            <w:rPr>
              <w:rFonts w:hint="eastAsia" w:ascii="宋体" w:hAnsi="宋体" w:eastAsia="宋体" w:cs="宋体"/>
              <w:bCs/>
              <w:color w:val="000000" w:themeColor="text1"/>
              <w:sz w:val="24"/>
              <w:szCs w:val="32"/>
              <w:highlight w:val="none"/>
              <w14:textFill>
                <w14:solidFill>
                  <w14:schemeClr w14:val="tx1"/>
                </w14:solidFill>
              </w14:textFill>
            </w:rPr>
            <w:fldChar w:fldCharType="separate"/>
          </w:r>
          <w:r>
            <w:rPr>
              <w:rFonts w:hint="eastAsia" w:ascii="宋体" w:hAnsi="宋体" w:eastAsia="宋体" w:cs="宋体"/>
              <w:color w:val="000000" w:themeColor="text1"/>
              <w:sz w:val="24"/>
              <w:szCs w:val="32"/>
              <w:highlight w:val="none"/>
              <w14:textFill>
                <w14:solidFill>
                  <w14:schemeClr w14:val="tx1"/>
                </w14:solidFill>
              </w14:textFill>
            </w:rPr>
            <w:t>六、售后服务要求</w:t>
          </w:r>
          <w:r>
            <w:rPr>
              <w:rFonts w:hint="eastAsia" w:ascii="宋体" w:hAnsi="宋体" w:eastAsia="宋体" w:cs="宋体"/>
              <w:color w:val="000000" w:themeColor="text1"/>
              <w:sz w:val="24"/>
              <w:szCs w:val="28"/>
              <w:highlight w:val="none"/>
              <w14:textFill>
                <w14:solidFill>
                  <w14:schemeClr w14:val="tx1"/>
                </w14:solidFill>
              </w14:textFill>
            </w:rPr>
            <w:tab/>
          </w:r>
          <w:r>
            <w:rPr>
              <w:rFonts w:hint="eastAsia" w:ascii="宋体" w:hAnsi="宋体" w:eastAsia="宋体" w:cs="宋体"/>
              <w:color w:val="000000" w:themeColor="text1"/>
              <w:sz w:val="24"/>
              <w:szCs w:val="28"/>
              <w:highlight w:val="none"/>
              <w14:textFill>
                <w14:solidFill>
                  <w14:schemeClr w14:val="tx1"/>
                </w14:solidFill>
              </w14:textFill>
            </w:rPr>
            <w:fldChar w:fldCharType="begin"/>
          </w:r>
          <w:r>
            <w:rPr>
              <w:rFonts w:hint="eastAsia" w:ascii="宋体" w:hAnsi="宋体" w:eastAsia="宋体" w:cs="宋体"/>
              <w:color w:val="000000" w:themeColor="text1"/>
              <w:sz w:val="24"/>
              <w:szCs w:val="28"/>
              <w:highlight w:val="none"/>
              <w14:textFill>
                <w14:solidFill>
                  <w14:schemeClr w14:val="tx1"/>
                </w14:solidFill>
              </w14:textFill>
            </w:rPr>
            <w:instrText xml:space="preserve"> PAGEREF _Toc9022 \h </w:instrText>
          </w:r>
          <w:r>
            <w:rPr>
              <w:rFonts w:hint="eastAsia" w:ascii="宋体" w:hAnsi="宋体" w:eastAsia="宋体" w:cs="宋体"/>
              <w:color w:val="000000" w:themeColor="text1"/>
              <w:sz w:val="24"/>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8"/>
              <w:highlight w:val="none"/>
              <w14:textFill>
                <w14:solidFill>
                  <w14:schemeClr w14:val="tx1"/>
                </w14:solidFill>
              </w14:textFill>
            </w:rPr>
            <w:t>44</w:t>
          </w:r>
          <w:r>
            <w:rPr>
              <w:rFonts w:hint="eastAsia" w:ascii="宋体" w:hAnsi="宋体" w:eastAsia="宋体" w:cs="宋体"/>
              <w:color w:val="000000" w:themeColor="text1"/>
              <w:sz w:val="24"/>
              <w:szCs w:val="28"/>
              <w:highlight w:val="none"/>
              <w14:textFill>
                <w14:solidFill>
                  <w14:schemeClr w14:val="tx1"/>
                </w14:solidFill>
              </w14:textFill>
            </w:rPr>
            <w:fldChar w:fldCharType="end"/>
          </w:r>
          <w:r>
            <w:rPr>
              <w:rFonts w:hint="eastAsia" w:ascii="宋体" w:hAnsi="宋体" w:eastAsia="宋体" w:cs="宋体"/>
              <w:bCs/>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themeColor="text1"/>
              <w:sz w:val="24"/>
              <w:szCs w:val="32"/>
              <w:highlight w:val="none"/>
              <w14:textFill>
                <w14:solidFill>
                  <w14:schemeClr w14:val="tx1"/>
                </w14:solidFill>
              </w14:textFill>
            </w:rPr>
          </w:pP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HYPERLINK \l _Toc32449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40"/>
              <w:highlight w:val="none"/>
              <w14:textFill>
                <w14:solidFill>
                  <w14:schemeClr w14:val="tx1"/>
                </w14:solidFill>
              </w14:textFill>
            </w:rPr>
            <w:t>第四章  采购合同（参考文本）</w:t>
          </w:r>
          <w:r>
            <w:rPr>
              <w:rFonts w:hint="eastAsia" w:ascii="宋体" w:hAnsi="宋体" w:eastAsia="宋体" w:cs="宋体"/>
              <w:b/>
              <w:bCs w:val="0"/>
              <w:color w:val="000000" w:themeColor="text1"/>
              <w:sz w:val="24"/>
              <w:szCs w:val="32"/>
              <w:highlight w:val="none"/>
              <w14:textFill>
                <w14:solidFill>
                  <w14:schemeClr w14:val="tx1"/>
                </w14:solidFill>
              </w14:textFill>
            </w:rPr>
            <w:tab/>
          </w: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PAGEREF _Toc32449 \h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32"/>
              <w:highlight w:val="none"/>
              <w14:textFill>
                <w14:solidFill>
                  <w14:schemeClr w14:val="tx1"/>
                </w14:solidFill>
              </w14:textFill>
            </w:rPr>
            <w:t>46</w:t>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HYPERLINK \l _Toc27429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40"/>
              <w:highlight w:val="none"/>
              <w14:textFill>
                <w14:solidFill>
                  <w14:schemeClr w14:val="tx1"/>
                </w14:solidFill>
              </w14:textFill>
            </w:rPr>
            <w:t>第五章　报价文件格式</w:t>
          </w:r>
          <w:r>
            <w:rPr>
              <w:rFonts w:hint="eastAsia" w:ascii="宋体" w:hAnsi="宋体" w:eastAsia="宋体" w:cs="宋体"/>
              <w:b/>
              <w:bCs w:val="0"/>
              <w:color w:val="000000" w:themeColor="text1"/>
              <w:sz w:val="24"/>
              <w:szCs w:val="32"/>
              <w:highlight w:val="none"/>
              <w14:textFill>
                <w14:solidFill>
                  <w14:schemeClr w14:val="tx1"/>
                </w14:solidFill>
              </w14:textFill>
            </w:rPr>
            <w:tab/>
          </w:r>
          <w:r>
            <w:rPr>
              <w:rFonts w:hint="eastAsia" w:ascii="宋体" w:hAnsi="宋体" w:eastAsia="宋体" w:cs="宋体"/>
              <w:b/>
              <w:bCs w:val="0"/>
              <w:color w:val="000000" w:themeColor="text1"/>
              <w:sz w:val="24"/>
              <w:szCs w:val="32"/>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32"/>
              <w:highlight w:val="none"/>
              <w14:textFill>
                <w14:solidFill>
                  <w14:schemeClr w14:val="tx1"/>
                </w14:solidFill>
              </w14:textFill>
            </w:rPr>
            <w:instrText xml:space="preserve"> PAGEREF _Toc27429 \h </w:instrText>
          </w:r>
          <w:r>
            <w:rPr>
              <w:rFonts w:hint="eastAsia" w:ascii="宋体" w:hAnsi="宋体" w:eastAsia="宋体" w:cs="宋体"/>
              <w:b/>
              <w:bCs w:val="0"/>
              <w:color w:val="000000" w:themeColor="text1"/>
              <w:sz w:val="24"/>
              <w:szCs w:val="32"/>
              <w:highlight w:val="none"/>
              <w14:textFill>
                <w14:solidFill>
                  <w14:schemeClr w14:val="tx1"/>
                </w14:solidFill>
              </w14:textFill>
            </w:rPr>
            <w:fldChar w:fldCharType="separate"/>
          </w:r>
          <w:r>
            <w:rPr>
              <w:rFonts w:hint="eastAsia" w:ascii="宋体" w:hAnsi="宋体" w:eastAsia="宋体" w:cs="宋体"/>
              <w:b/>
              <w:bCs w:val="0"/>
              <w:color w:val="000000" w:themeColor="text1"/>
              <w:sz w:val="24"/>
              <w:szCs w:val="32"/>
              <w:highlight w:val="none"/>
              <w14:textFill>
                <w14:solidFill>
                  <w14:schemeClr w14:val="tx1"/>
                </w14:solidFill>
              </w14:textFill>
            </w:rPr>
            <w:t>50</w:t>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r>
            <w:rPr>
              <w:rFonts w:hint="eastAsia" w:ascii="宋体" w:hAnsi="宋体" w:eastAsia="宋体" w:cs="宋体"/>
              <w:b/>
              <w:bCs w:val="0"/>
              <w:color w:val="000000" w:themeColor="text1"/>
              <w:sz w:val="24"/>
              <w:szCs w:val="32"/>
              <w:highlight w:val="none"/>
              <w14:textFill>
                <w14:solidFill>
                  <w14:schemeClr w14:val="tx1"/>
                </w14:solidFill>
              </w14:textFill>
            </w:rPr>
            <w:fldChar w:fldCharType="end"/>
          </w:r>
        </w:p>
        <w:p>
          <w:pPr>
            <w:spacing w:before="0" w:beforeLines="0" w:after="0" w:afterLines="0" w:line="240" w:lineRule="auto"/>
            <w:ind w:left="0" w:leftChars="0" w:right="0" w:rightChars="0" w:firstLine="0" w:firstLineChars="0"/>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fldChar w:fldCharType="end"/>
          </w:r>
        </w:p>
      </w:sdtContent>
    </w:sdt>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sectPr>
          <w:headerReference r:id="rId3" w:type="default"/>
          <w:footerReference r:id="rId4" w:type="default"/>
          <w:pgSz w:w="11906" w:h="16838"/>
          <w:pgMar w:top="1440" w:right="1797" w:bottom="1440" w:left="1797" w:header="851" w:footer="992" w:gutter="0"/>
          <w:cols w:space="720" w:num="1"/>
          <w:docGrid w:linePitch="312" w:charSpace="0"/>
        </w:sect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4" w:name="_Toc27551"/>
      <w:r>
        <w:rPr>
          <w:rFonts w:hint="eastAsia" w:ascii="宋体" w:hAnsi="宋体" w:eastAsia="宋体" w:cs="宋体"/>
          <w:b/>
          <w:bCs/>
          <w:color w:val="000000" w:themeColor="text1"/>
          <w:sz w:val="32"/>
          <w:szCs w:val="32"/>
          <w:highlight w:val="none"/>
          <w14:textFill>
            <w14:solidFill>
              <w14:schemeClr w14:val="tx1"/>
            </w14:solidFill>
          </w14:textFill>
        </w:rPr>
        <w:t>第一章  磋商邀请</w:t>
      </w:r>
      <w:bookmarkEnd w:id="4"/>
    </w:p>
    <w:p>
      <w:pPr>
        <w:tabs>
          <w:tab w:val="left" w:pos="900"/>
        </w:tabs>
        <w:spacing w:line="360" w:lineRule="auto"/>
        <w:ind w:firstLine="480"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eastAsia="宋体" w:cs="宋体"/>
          <w:color w:val="000000" w:themeColor="text1"/>
          <w:sz w:val="24"/>
          <w:szCs w:val="24"/>
          <w:highlight w:val="none"/>
          <w14:textFill>
            <w14:solidFill>
              <w14:schemeClr w14:val="tx1"/>
            </w14:solidFill>
          </w14:textFill>
        </w:rPr>
        <w:t>受采购人</w:t>
      </w:r>
      <w:r>
        <w:rPr>
          <w:rFonts w:hint="eastAsia" w:ascii="宋体" w:hAnsi="宋体" w:eastAsia="宋体" w:cs="宋体"/>
          <w:b/>
          <w:color w:val="000000" w:themeColor="text1"/>
          <w:sz w:val="24"/>
          <w:szCs w:val="24"/>
          <w:highlight w:val="none"/>
          <w:u w:val="single"/>
          <w14:textFill>
            <w14:solidFill>
              <w14:schemeClr w14:val="tx1"/>
            </w14:solidFill>
          </w14:textFill>
        </w:rPr>
        <w:t>厦门市食品药品质量检验研究院</w:t>
      </w:r>
      <w:r>
        <w:rPr>
          <w:rFonts w:hint="eastAsia" w:ascii="宋体" w:hAnsi="宋体" w:eastAsia="宋体" w:cs="宋体"/>
          <w:color w:val="000000" w:themeColor="text1"/>
          <w:sz w:val="24"/>
          <w:szCs w:val="24"/>
          <w:highlight w:val="none"/>
          <w14:textFill>
            <w14:solidFill>
              <w14:schemeClr w14:val="tx1"/>
            </w14:solidFill>
          </w14:textFill>
        </w:rPr>
        <w:t>委托，对</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eastAsia="zh-CN"/>
          <w14:textFill>
            <w14:solidFill>
              <w14:schemeClr w14:val="tx1"/>
            </w14:solidFill>
          </w14:textFill>
        </w:rPr>
        <w:t>电子天平</w:t>
      </w:r>
      <w:r>
        <w:rPr>
          <w:rFonts w:hint="eastAsia" w:ascii="宋体" w:hAnsi="宋体" w:eastAsia="宋体" w:cs="宋体"/>
          <w:bCs/>
          <w:color w:val="000000" w:themeColor="text1"/>
          <w:sz w:val="24"/>
          <w:szCs w:val="24"/>
          <w:highlight w:val="none"/>
          <w14:textFill>
            <w14:solidFill>
              <w14:schemeClr w14:val="tx1"/>
            </w14:solidFill>
          </w14:textFill>
        </w:rPr>
        <w:t>项目的采购</w:t>
      </w:r>
      <w:r>
        <w:rPr>
          <w:rFonts w:hint="eastAsia" w:ascii="宋体" w:hAnsi="宋体" w:eastAsia="宋体" w:cs="宋体"/>
          <w:color w:val="000000" w:themeColor="text1"/>
          <w:sz w:val="24"/>
          <w:szCs w:val="24"/>
          <w:highlight w:val="none"/>
          <w14:textFill>
            <w14:solidFill>
              <w14:schemeClr w14:val="tx1"/>
            </w14:solidFill>
          </w14:textFill>
        </w:rPr>
        <w:t>采用</w:t>
      </w:r>
      <w:r>
        <w:rPr>
          <w:rFonts w:hint="eastAsia" w:ascii="宋体" w:hAnsi="宋体" w:eastAsia="宋体" w:cs="宋体"/>
          <w:b/>
          <w:color w:val="000000" w:themeColor="text1"/>
          <w:sz w:val="24"/>
          <w:szCs w:val="24"/>
          <w:highlight w:val="none"/>
          <w:u w:val="single"/>
          <w14:textFill>
            <w14:solidFill>
              <w14:schemeClr w14:val="tx1"/>
            </w14:solidFill>
          </w14:textFill>
        </w:rPr>
        <w:t>竞争性磋商方式</w:t>
      </w:r>
      <w:r>
        <w:rPr>
          <w:rFonts w:hint="eastAsia" w:ascii="宋体" w:hAnsi="宋体" w:eastAsia="宋体" w:cs="宋体"/>
          <w:color w:val="000000" w:themeColor="text1"/>
          <w:sz w:val="24"/>
          <w:szCs w:val="24"/>
          <w:highlight w:val="none"/>
          <w14:textFill>
            <w14:solidFill>
              <w14:schemeClr w14:val="tx1"/>
            </w14:solidFill>
          </w14:textFill>
        </w:rPr>
        <w:t>进行。现欢迎国内合格报价人密封提交报价文件。</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w:t>
      </w:r>
      <w:r>
        <w:rPr>
          <w:rFonts w:hint="eastAsia" w:ascii="宋体" w:hAnsi="宋体" w:cs="宋体"/>
          <w:color w:val="000000" w:themeColor="text1"/>
          <w:sz w:val="24"/>
          <w:szCs w:val="24"/>
          <w:highlight w:val="none"/>
          <w:lang w:eastAsia="zh-CN"/>
          <w14:textFill>
            <w14:solidFill>
              <w14:schemeClr w14:val="tx1"/>
            </w14:solidFill>
          </w14:textFill>
        </w:rPr>
        <w:t>XM2024-TZ5080</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2.采购货物名称、数量及主要技术规格：见后附采购货物一览表。</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lang w:eastAsia="zh-CN"/>
          <w14:textFill>
            <w14:solidFill>
              <w14:schemeClr w14:val="tx1"/>
            </w14:solidFill>
          </w14:textFill>
        </w:rPr>
        <w:t>2024</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14:textFill>
            <w14:solidFill>
              <w14:schemeClr w14:val="tx1"/>
            </w14:solidFill>
          </w14:textFill>
        </w:rPr>
        <w:t>5月6日至2024年5月15日</w:t>
      </w:r>
      <w:r>
        <w:rPr>
          <w:rFonts w:hint="eastAsia" w:ascii="宋体" w:hAnsi="宋体" w:eastAsia="宋体" w:cs="宋体"/>
          <w:color w:val="000000" w:themeColor="text1"/>
          <w:sz w:val="24"/>
          <w:szCs w:val="24"/>
          <w:highlight w:val="none"/>
          <w14:textFill>
            <w14:solidFill>
              <w14:schemeClr w14:val="tx1"/>
            </w14:solidFill>
          </w14:textFill>
        </w:rPr>
        <w:t>(节假日除外)上午8：30至12：00，下午2：00至5：30（北京时间）在</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eastAsia="宋体" w:cs="宋体"/>
          <w:color w:val="000000" w:themeColor="text1"/>
          <w:sz w:val="24"/>
          <w:szCs w:val="24"/>
          <w:highlight w:val="none"/>
          <w14:textFill>
            <w14:solidFill>
              <w14:schemeClr w14:val="tx1"/>
            </w14:solidFill>
          </w14:textFill>
        </w:rPr>
        <w:t>购买采购文件，联系人及电话：王小姐0592-2219823。</w:t>
      </w:r>
    </w:p>
    <w:p>
      <w:pPr>
        <w:pStyle w:val="19"/>
        <w:keepNext w:val="0"/>
        <w:keepLines w:val="0"/>
        <w:pageBreakBefore w:val="0"/>
        <w:widowControl w:val="0"/>
        <w:numPr>
          <w:ilvl w:val="0"/>
          <w:numId w:val="0"/>
        </w:numPr>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4.采购文件售价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hAnsi="宋体" w:cs="宋体"/>
          <w:b/>
          <w:color w:val="000000" w:themeColor="text1"/>
          <w:sz w:val="24"/>
          <w:szCs w:val="24"/>
          <w:highlight w:val="none"/>
          <w:u w:val="single"/>
          <w:lang w:val="en-US" w:eastAsia="zh-CN"/>
          <w14:textFill>
            <w14:solidFill>
              <w14:schemeClr w14:val="tx1"/>
            </w14:solidFill>
          </w14:textFill>
        </w:rPr>
        <w:t>5</w:t>
      </w:r>
      <w:bookmarkStart w:id="139" w:name="_GoBack"/>
      <w:bookmarkEnd w:id="139"/>
      <w:r>
        <w:rPr>
          <w:rFonts w:hint="eastAsia" w:hAnsi="宋体" w:eastAsia="宋体" w:cs="宋体"/>
          <w:b/>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w:t>
      </w:r>
      <w:r>
        <w:rPr>
          <w:rFonts w:hint="eastAsia" w:hAnsi="宋体" w:eastAsia="宋体" w:cs="宋体"/>
          <w:color w:val="000000" w:themeColor="text1"/>
          <w:sz w:val="24"/>
          <w:szCs w:val="24"/>
          <w:highlight w:val="none"/>
          <w14:textFill>
            <w14:solidFill>
              <w14:schemeClr w14:val="tx1"/>
            </w14:solidFill>
          </w14:textFill>
        </w:rPr>
        <w:t>邮寄费人民币50元</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售后不退。</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5.报价文件提交截止时间：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：00（时间）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eastAsia="宋体" w:cs="宋体"/>
          <w:color w:val="000000" w:themeColor="text1"/>
          <w:sz w:val="24"/>
          <w:szCs w:val="24"/>
          <w:highlight w:val="none"/>
          <w14:textFill>
            <w14:solidFill>
              <w14:schemeClr w14:val="tx1"/>
            </w14:solidFill>
          </w14:textFill>
        </w:rPr>
        <w:t>，逾期收到的或不符合规定的报价文件将被拒绝。</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：00（时间）</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8.以上信息如有变更，</w:t>
      </w:r>
      <w:r>
        <w:rPr>
          <w:rFonts w:hint="eastAsia" w:ascii="宋体" w:hAnsi="宋体" w:eastAsia="宋体" w:cs="宋体"/>
          <w:color w:val="000000" w:themeColor="text1"/>
          <w:sz w:val="24"/>
          <w:szCs w:val="24"/>
          <w:highlight w:val="none"/>
          <w:u w:val="single"/>
          <w14:textFill>
            <w14:solidFill>
              <w14:schemeClr w14:val="tx1"/>
            </w14:solidFill>
          </w14:textFill>
        </w:rPr>
        <w:t>厦门万翔招标有限公司</w:t>
      </w:r>
      <w:r>
        <w:rPr>
          <w:rFonts w:hint="eastAsia" w:ascii="宋体" w:hAnsi="宋体" w:eastAsia="宋体" w:cs="宋体"/>
          <w:color w:val="000000" w:themeColor="text1"/>
          <w:sz w:val="24"/>
          <w:szCs w:val="24"/>
          <w:highlight w:val="none"/>
          <w14:textFill>
            <w14:solidFill>
              <w14:schemeClr w14:val="tx1"/>
            </w14:solidFill>
          </w14:textFill>
        </w:rPr>
        <w:t>将通过中国政府采购网</w:t>
      </w:r>
      <w:r>
        <w:rPr>
          <w:rFonts w:hint="eastAsia" w:ascii="宋体" w:hAnsi="宋体" w:eastAsia="宋体" w:cs="宋体"/>
          <w:bCs/>
          <w:color w:val="000000" w:themeColor="text1"/>
          <w:sz w:val="24"/>
          <w:szCs w:val="24"/>
          <w:highlight w:val="none"/>
          <w14:textFill>
            <w14:solidFill>
              <w14:schemeClr w14:val="tx1"/>
            </w14:solidFill>
          </w14:textFill>
        </w:rPr>
        <w:t>等信息发布媒体通知,</w:t>
      </w:r>
      <w:r>
        <w:rPr>
          <w:rFonts w:hint="eastAsia" w:ascii="宋体" w:hAnsi="宋体" w:eastAsia="宋体" w:cs="宋体"/>
          <w:color w:val="000000" w:themeColor="text1"/>
          <w:sz w:val="24"/>
          <w:szCs w:val="24"/>
          <w:highlight w:val="none"/>
          <w14:textFill>
            <w14:solidFill>
              <w14:schemeClr w14:val="tx1"/>
            </w14:solidFill>
          </w14:textFill>
        </w:rPr>
        <w:t>请报价人关注。</w:t>
      </w: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9.本项目（不接受）联合体报价。</w:t>
      </w:r>
    </w:p>
    <w:p>
      <w:pPr>
        <w:keepNext w:val="0"/>
        <w:keepLines w:val="0"/>
        <w:pageBreakBefore w:val="0"/>
        <w:widowControl w:val="0"/>
        <w:tabs>
          <w:tab w:val="left" w:pos="1140"/>
        </w:tabs>
        <w:kinsoku/>
        <w:wordWrap/>
        <w:overflowPunct/>
        <w:topLinePunct w:val="0"/>
        <w:bidi w:val="0"/>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10.各有关联系方式</w:t>
      </w:r>
    </w:p>
    <w:tbl>
      <w:tblPr>
        <w:tblStyle w:val="13"/>
        <w:tblW w:w="86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468"/>
        <w:gridCol w:w="1162"/>
        <w:gridCol w:w="2352"/>
        <w:gridCol w:w="28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50"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1468"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分工</w:t>
            </w:r>
          </w:p>
        </w:tc>
        <w:tc>
          <w:tcPr>
            <w:tcW w:w="1162"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联系人</w:t>
            </w:r>
          </w:p>
        </w:tc>
        <w:tc>
          <w:tcPr>
            <w:tcW w:w="2352"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职责范围</w:t>
            </w:r>
          </w:p>
        </w:tc>
        <w:tc>
          <w:tcPr>
            <w:tcW w:w="2883"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项目经办</w:t>
            </w:r>
          </w:p>
        </w:tc>
        <w:tc>
          <w:tcPr>
            <w:tcW w:w="11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卢小姐、黄小姐</w:t>
            </w:r>
          </w:p>
        </w:tc>
        <w:tc>
          <w:tcPr>
            <w:tcW w:w="235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0592-5701518、5721295</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p>
        </w:tc>
        <w:tc>
          <w:tcPr>
            <w:tcW w:w="11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磋商保证金收、退</w:t>
            </w:r>
          </w:p>
        </w:tc>
        <w:tc>
          <w:tcPr>
            <w:tcW w:w="288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财务</w:t>
            </w:r>
          </w:p>
        </w:tc>
        <w:tc>
          <w:tcPr>
            <w:tcW w:w="11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张先生</w:t>
            </w:r>
          </w:p>
        </w:tc>
        <w:tc>
          <w:tcPr>
            <w:tcW w:w="235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文件费、磋商保证金到账咨询</w:t>
            </w:r>
          </w:p>
        </w:tc>
        <w:tc>
          <w:tcPr>
            <w:tcW w:w="288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p>
        </w:tc>
        <w:tc>
          <w:tcPr>
            <w:tcW w:w="11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收取</w:t>
            </w:r>
          </w:p>
        </w:tc>
        <w:tc>
          <w:tcPr>
            <w:tcW w:w="288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w:t>
            </w:r>
          </w:p>
        </w:tc>
        <w:tc>
          <w:tcPr>
            <w:tcW w:w="11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欢迎报价人对项目采购过程中公告发布、采购文件购买、磋商保证金缴交和退还、</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14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w:t>
            </w:r>
          </w:p>
        </w:tc>
        <w:tc>
          <w:tcPr>
            <w:tcW w:w="11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刘经理</w:t>
            </w:r>
          </w:p>
        </w:tc>
        <w:tc>
          <w:tcPr>
            <w:tcW w:w="2352"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3"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电话0592-2218761</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邮箱lmf@iport.com.cn</w:t>
            </w: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1468"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售标</w:t>
            </w:r>
          </w:p>
        </w:tc>
        <w:tc>
          <w:tcPr>
            <w:tcW w:w="1162"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王小姐</w:t>
            </w:r>
          </w:p>
        </w:tc>
        <w:tc>
          <w:tcPr>
            <w:tcW w:w="2352"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负责受理采购文件出售（邮寄）</w:t>
            </w:r>
          </w:p>
        </w:tc>
        <w:tc>
          <w:tcPr>
            <w:tcW w:w="2883"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0592-2219823</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bl>
    <w:p>
      <w:pPr>
        <w:tabs>
          <w:tab w:val="left" w:pos="1140"/>
        </w:tabs>
        <w:spacing w:line="360" w:lineRule="auto"/>
        <w:ind w:left="42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11.磋商保证金及</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、文件费缴交账户：</w:t>
      </w:r>
    </w:p>
    <w:tbl>
      <w:tblPr>
        <w:tblStyle w:val="13"/>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3771"/>
        <w:gridCol w:w="40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78"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类   别</w:t>
            </w:r>
          </w:p>
        </w:tc>
        <w:tc>
          <w:tcPr>
            <w:tcW w:w="3771"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磋商保证金缴交账户</w:t>
            </w:r>
          </w:p>
        </w:tc>
        <w:tc>
          <w:tcPr>
            <w:tcW w:w="4068"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文件费、</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78"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tc>
        <w:tc>
          <w:tcPr>
            <w:tcW w:w="37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8"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p>
        </w:tc>
        <w:tc>
          <w:tcPr>
            <w:tcW w:w="37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c>
          <w:tcPr>
            <w:tcW w:w="4068"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地址：厦门市湖里区机场北路476号四楼</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邮编：361006</w:t>
      </w:r>
    </w:p>
    <w:p>
      <w:pPr>
        <w:spacing w:line="360" w:lineRule="auto"/>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附：采购货物一览表</w:t>
      </w:r>
    </w:p>
    <w:tbl>
      <w:tblPr>
        <w:tblStyle w:val="13"/>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950"/>
        <w:gridCol w:w="1510"/>
        <w:gridCol w:w="830"/>
        <w:gridCol w:w="1910"/>
        <w:gridCol w:w="168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合同包</w:t>
            </w:r>
          </w:p>
        </w:tc>
        <w:tc>
          <w:tcPr>
            <w:tcW w:w="950"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品目号</w:t>
            </w:r>
          </w:p>
        </w:tc>
        <w:tc>
          <w:tcPr>
            <w:tcW w:w="1510"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货物名称</w:t>
            </w:r>
          </w:p>
        </w:tc>
        <w:tc>
          <w:tcPr>
            <w:tcW w:w="830"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1910"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技术规格及要求</w:t>
            </w:r>
          </w:p>
        </w:tc>
        <w:tc>
          <w:tcPr>
            <w:tcW w:w="1680"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交付使用期</w:t>
            </w:r>
          </w:p>
        </w:tc>
        <w:tc>
          <w:tcPr>
            <w:tcW w:w="1192" w:type="dxa"/>
            <w:noWrap w:val="0"/>
            <w:vAlign w:val="center"/>
          </w:tcPr>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079" w:type="dxa"/>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XM2024-TZ5080</w:t>
            </w:r>
          </w:p>
        </w:tc>
        <w:tc>
          <w:tcPr>
            <w:tcW w:w="950" w:type="dxa"/>
            <w:noWrap w:val="0"/>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p>
        </w:tc>
        <w:tc>
          <w:tcPr>
            <w:tcW w:w="1510"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电子天平</w:t>
            </w:r>
          </w:p>
        </w:tc>
        <w:tc>
          <w:tcPr>
            <w:tcW w:w="830" w:type="dxa"/>
            <w:noWrap w:val="0"/>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1台</w:t>
            </w:r>
          </w:p>
        </w:tc>
        <w:tc>
          <w:tcPr>
            <w:tcW w:w="1910" w:type="dxa"/>
            <w:noWrap w:val="0"/>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具体详见采购文件第三章 磋商内容及要求</w:t>
            </w:r>
          </w:p>
        </w:tc>
        <w:tc>
          <w:tcPr>
            <w:tcW w:w="1680"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具体详见采购文件第三章 磋商内容及要求</w:t>
            </w:r>
          </w:p>
        </w:tc>
        <w:tc>
          <w:tcPr>
            <w:tcW w:w="1192"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采购人指定地点</w:t>
            </w:r>
          </w:p>
        </w:tc>
      </w:tr>
    </w:tbl>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24"/>
          <w:highlight w:val="none"/>
          <w14:textFill>
            <w14:solidFill>
              <w14:schemeClr w14:val="tx1"/>
            </w14:solidFill>
          </w14:textFill>
        </w:rPr>
      </w:pPr>
    </w:p>
    <w:p>
      <w:pPr>
        <w:pStyle w:val="19"/>
        <w:spacing w:line="360" w:lineRule="auto"/>
        <w:jc w:val="center"/>
        <w:rPr>
          <w:rFonts w:hint="eastAsia" w:hAnsi="宋体" w:eastAsia="宋体" w:cs="宋体"/>
          <w:b/>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19"/>
        <w:spacing w:line="360" w:lineRule="auto"/>
        <w:jc w:val="center"/>
        <w:outlineLvl w:val="0"/>
        <w:rPr>
          <w:rFonts w:hint="eastAsia" w:hAnsi="宋体" w:eastAsia="宋体" w:cs="宋体"/>
          <w:color w:val="000000" w:themeColor="text1"/>
          <w:sz w:val="24"/>
          <w:szCs w:val="24"/>
          <w:highlight w:val="none"/>
          <w14:textFill>
            <w14:solidFill>
              <w14:schemeClr w14:val="tx1"/>
            </w14:solidFill>
          </w14:textFill>
        </w:rPr>
      </w:pPr>
      <w:bookmarkStart w:id="5" w:name="_Toc4309"/>
      <w:r>
        <w:rPr>
          <w:rFonts w:hint="eastAsia" w:hAnsi="宋体" w:eastAsia="宋体" w:cs="宋体"/>
          <w:b/>
          <w:color w:val="000000" w:themeColor="text1"/>
          <w:sz w:val="32"/>
          <w:szCs w:val="32"/>
          <w:highlight w:val="none"/>
          <w14:textFill>
            <w14:solidFill>
              <w14:schemeClr w14:val="tx1"/>
            </w14:solidFill>
          </w14:textFill>
        </w:rPr>
        <w:t>第二章  报价人须知</w:t>
      </w:r>
      <w:bookmarkEnd w:id="5"/>
    </w:p>
    <w:p>
      <w:pPr>
        <w:pStyle w:val="19"/>
        <w:spacing w:line="360" w:lineRule="auto"/>
        <w:rPr>
          <w:rFonts w:hint="eastAsia" w:hAnsi="宋体" w:eastAsia="宋体" w:cs="宋体"/>
          <w:color w:val="000000" w:themeColor="text1"/>
          <w:highlight w:val="none"/>
          <w14:textFill>
            <w14:solidFill>
              <w14:schemeClr w14:val="tx1"/>
            </w14:solidFill>
          </w14:textFill>
        </w:rPr>
      </w:pPr>
    </w:p>
    <w:p>
      <w:pPr>
        <w:pStyle w:val="19"/>
        <w:spacing w:line="360" w:lineRule="auto"/>
        <w:rPr>
          <w:rFonts w:hint="eastAsia" w:hAnsi="宋体" w:eastAsia="宋体" w:cs="宋体"/>
          <w:color w:val="000000" w:themeColor="text1"/>
          <w:highlight w:val="none"/>
          <w14:textFill>
            <w14:solidFill>
              <w14:schemeClr w14:val="tx1"/>
            </w14:solidFill>
          </w14:textFill>
        </w:rPr>
      </w:pPr>
    </w:p>
    <w:p>
      <w:pPr>
        <w:pStyle w:val="19"/>
        <w:spacing w:line="360" w:lineRule="auto"/>
        <w:rPr>
          <w:rFonts w:hint="eastAsia" w:hAnsi="宋体" w:eastAsia="宋体" w:cs="宋体"/>
          <w:color w:val="000000" w:themeColor="text1"/>
          <w:highlight w:val="none"/>
          <w14:textFill>
            <w14:solidFill>
              <w14:schemeClr w14:val="tx1"/>
            </w14:solidFill>
          </w14:textFill>
        </w:rPr>
      </w:pPr>
    </w:p>
    <w:tbl>
      <w:tblPr>
        <w:tblStyle w:val="1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360" w:firstLineChars="1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tc>
      </w:tr>
    </w:tbl>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6" w:name="_Toc32687"/>
      <w:r>
        <w:rPr>
          <w:rFonts w:hint="eastAsia" w:ascii="宋体" w:hAnsi="宋体" w:eastAsia="宋体" w:cs="宋体"/>
          <w:b/>
          <w:bCs/>
          <w:color w:val="000000" w:themeColor="text1"/>
          <w:sz w:val="32"/>
          <w:szCs w:val="32"/>
          <w:highlight w:val="none"/>
          <w14:textFill>
            <w14:solidFill>
              <w14:schemeClr w14:val="tx1"/>
            </w14:solidFill>
          </w14:textFill>
        </w:rPr>
        <w:t>报价人须知前附表1</w:t>
      </w:r>
      <w:bookmarkEnd w:id="6"/>
    </w:p>
    <w:p>
      <w:pPr>
        <w:spacing w:line="360" w:lineRule="auto"/>
        <w:ind w:firstLine="5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55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lang w:eastAsia="zh-CN"/>
                <w14:textFill>
                  <w14:solidFill>
                    <w14:schemeClr w14:val="tx1"/>
                  </w14:solidFill>
                </w14:textFill>
              </w:rPr>
              <w:t>电子天平</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厦门市食品药品质量检验研究院</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r>
              <w:rPr>
                <w:rFonts w:hint="eastAsia" w:ascii="宋体" w:hAnsi="宋体" w:cs="宋体"/>
                <w:color w:val="000000" w:themeColor="text1"/>
                <w:sz w:val="24"/>
                <w:szCs w:val="24"/>
                <w:highlight w:val="none"/>
                <w:u w:val="single"/>
                <w:lang w:eastAsia="zh-CN"/>
                <w14:textFill>
                  <w14:solidFill>
                    <w14:schemeClr w14:val="tx1"/>
                  </w14:solidFill>
                </w14:textFill>
              </w:rPr>
              <w:t>电子天平，</w:t>
            </w:r>
            <w:r>
              <w:rPr>
                <w:rFonts w:hint="eastAsia" w:ascii="宋体" w:hAnsi="宋体" w:cs="宋体"/>
                <w:color w:val="000000" w:themeColor="text1"/>
                <w:sz w:val="24"/>
                <w:szCs w:val="24"/>
                <w:highlight w:val="none"/>
                <w:u w:val="single"/>
                <w:lang w:val="en-US" w:eastAsia="zh-CN"/>
                <w14:textFill>
                  <w14:solidFill>
                    <w14:schemeClr w14:val="tx1"/>
                  </w14:solidFill>
                </w14:textFill>
              </w:rPr>
              <w:t>1台</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lang w:eastAsia="zh-CN"/>
                <w14:textFill>
                  <w14:solidFill>
                    <w14:schemeClr w14:val="tx1"/>
                  </w14:solidFill>
                </w14:textFill>
              </w:rPr>
              <w:t>XM2024-TZ5080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报价有效期：报价截止之日起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报价文件递交地址：</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厦门市湖里区机场北路476号四楼开标厅</w:t>
            </w:r>
          </w:p>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接收人：</w:t>
            </w:r>
            <w:r>
              <w:rPr>
                <w:rFonts w:hint="eastAsia" w:ascii="宋体" w:hAnsi="宋体" w:cs="宋体"/>
                <w:color w:val="000000" w:themeColor="text1"/>
                <w:sz w:val="24"/>
                <w:szCs w:val="24"/>
                <w:highlight w:val="none"/>
                <w:lang w:val="en-US" w:eastAsia="zh-CN"/>
                <w14:textFill>
                  <w14:solidFill>
                    <w14:schemeClr w14:val="tx1"/>
                  </w14:solidFill>
                </w14:textFill>
              </w:rPr>
              <w:t>卢小姐、黄小姐</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w:t>
            </w:r>
            <w:r>
              <w:rPr>
                <w:rFonts w:hint="eastAsia" w:ascii="宋体" w:hAnsi="宋体" w:cs="宋体"/>
                <w:color w:val="000000" w:themeColor="text1"/>
                <w:sz w:val="24"/>
                <w:szCs w:val="24"/>
                <w:highlight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磋商规则、评审标准：</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w:t>
            </w:r>
          </w:p>
        </w:tc>
        <w:tc>
          <w:tcPr>
            <w:tcW w:w="75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标准及收取方式：</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成交金额(万元)</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r>
          </w:tbl>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1、磋商代理服务费的收取按差额定率累进法计算,由成交供应商支付。若服务费不足3000元，按3000元计取。</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2、成交供应商以转账或汇款方式提交。</w:t>
            </w:r>
          </w:p>
        </w:tc>
      </w:tr>
    </w:tbl>
    <w:p>
      <w:pPr>
        <w:spacing w:line="360" w:lineRule="auto"/>
        <w:jc w:val="center"/>
        <w:outlineLvl w:val="1"/>
        <w:rPr>
          <w:rFonts w:hint="eastAsia" w:ascii="宋体" w:hAnsi="宋体" w:eastAsia="宋体" w:cs="宋体"/>
          <w:b/>
          <w:bCs/>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bookmarkStart w:id="7" w:name="_Toc24557"/>
      <w:bookmarkStart w:id="8" w:name="_Toc18656"/>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报价人须知前附表2</w:t>
      </w:r>
      <w:r>
        <w:rPr>
          <w:rFonts w:hint="eastAsia" w:ascii="宋体" w:hAnsi="宋体" w:cs="宋体"/>
          <w:b/>
          <w:bCs/>
          <w:color w:val="000000" w:themeColor="text1"/>
          <w:sz w:val="32"/>
          <w:szCs w:val="32"/>
          <w:highlight w:val="none"/>
          <w:u w:val="single"/>
          <w:lang w:eastAsia="zh-CN"/>
          <w14:textFill>
            <w14:solidFill>
              <w14:schemeClr w14:val="tx1"/>
            </w14:solidFill>
          </w14:textFill>
        </w:rPr>
        <w:t>：</w:t>
      </w:r>
      <w:r>
        <w:rPr>
          <w:rFonts w:hint="eastAsia" w:ascii="宋体" w:hAnsi="宋体" w:eastAsia="宋体" w:cs="宋体"/>
          <w:b/>
          <w:bCs/>
          <w:color w:val="000000" w:themeColor="text1"/>
          <w:sz w:val="32"/>
          <w:szCs w:val="32"/>
          <w:highlight w:val="none"/>
          <w:u w:val="single"/>
          <w14:textFill>
            <w14:solidFill>
              <w14:schemeClr w14:val="tx1"/>
            </w14:solidFill>
          </w14:textFill>
        </w:rPr>
        <w:t>资格性、符合性检查表</w:t>
      </w:r>
      <w:bookmarkEnd w:id="7"/>
      <w:bookmarkEnd w:id="8"/>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20"/>
              <w:spacing w:line="360" w:lineRule="auto"/>
              <w:ind w:firstLine="560"/>
              <w:rPr>
                <w:rFonts w:hint="eastAsia" w:eastAsia="宋体"/>
                <w:b/>
                <w:bCs/>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w:t>
            </w:r>
            <w:r>
              <w:rPr>
                <w:rFonts w:hint="eastAsia" w:eastAsia="宋体"/>
                <w:b/>
                <w:bCs/>
                <w:color w:val="000000" w:themeColor="text1"/>
                <w:sz w:val="24"/>
                <w:szCs w:val="24"/>
                <w:highlight w:val="none"/>
                <w14:textFill>
                  <w14:solidFill>
                    <w14:schemeClr w14:val="tx1"/>
                  </w14:solidFill>
                </w14:textFill>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20"/>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20"/>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b/>
                <w:color w:val="000000" w:themeColor="text1"/>
                <w:sz w:val="24"/>
                <w:szCs w:val="24"/>
                <w:highlight w:val="none"/>
                <w14:textFill>
                  <w14:solidFill>
                    <w14:schemeClr w14:val="tx1"/>
                  </w14:solidFill>
                </w14:textFill>
              </w:rPr>
              <w:t>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12"/>
              <w:shd w:val="clear" w:color="auto" w:fill="FFFFFF"/>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cs="宋体"/>
                <w:b/>
                <w:color w:val="000000" w:themeColor="text1"/>
                <w:sz w:val="24"/>
                <w:szCs w:val="24"/>
                <w:highlight w:val="none"/>
                <w:lang w:val="en-US" w:eastAsia="zh-CN"/>
                <w14:textFill>
                  <w14:solidFill>
                    <w14:schemeClr w14:val="tx1"/>
                  </w14:solidFill>
                </w14:textFill>
              </w:rPr>
              <w:t>3.2</w:t>
            </w:r>
            <w:r>
              <w:rPr>
                <w:rFonts w:hint="eastAsia" w:hAnsi="宋体" w:eastAsia="宋体" w:cs="宋体"/>
                <w:b/>
                <w:color w:val="000000" w:themeColor="text1"/>
                <w:sz w:val="24"/>
                <w:szCs w:val="24"/>
                <w:highlight w:val="none"/>
                <w14:textFill>
                  <w14:solidFill>
                    <w14:schemeClr w14:val="tx1"/>
                  </w14:solidFill>
                </w14:textFill>
              </w:rPr>
              <w:t>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8.要求</w:t>
            </w:r>
          </w:p>
          <w:p>
            <w:pPr>
              <w:pStyle w:val="6"/>
              <w:spacing w:line="360" w:lineRule="auto"/>
              <w:ind w:firstLine="48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报价文件有效期：</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sz w:val="24"/>
                <w:szCs w:val="24"/>
                <w:highlight w:val="none"/>
                <w14:textFill>
                  <w14:solidFill>
                    <w14:schemeClr w14:val="tx1"/>
                  </w14:solidFill>
                </w14:textFill>
              </w:rPr>
              <w:t>个日历日。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21"/>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bookmarkStart w:id="9" w:name="_Toc27196"/>
            <w:bookmarkStart w:id="10" w:name="_Toc22652"/>
            <w:r>
              <w:rPr>
                <w:rFonts w:hint="eastAsia" w:hAnsi="宋体" w:eastAsia="宋体" w:cs="宋体"/>
                <w:color w:val="000000" w:themeColor="text1"/>
                <w:sz w:val="24"/>
                <w:szCs w:val="24"/>
                <w:highlight w:val="none"/>
                <w:lang w:val="en-US" w:eastAsia="zh-CN"/>
                <w14:textFill>
                  <w14:solidFill>
                    <w14:schemeClr w14:val="tx1"/>
                  </w14:solidFill>
                </w14:textFill>
              </w:rPr>
              <w:t>13.7未按本须知规定的格式填写报价文件、报价文件字迹模糊不清的，其磋商响应将被拒绝。</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21"/>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bookmarkStart w:id="11" w:name="_Toc218"/>
            <w:bookmarkStart w:id="12" w:name="_Toc8910"/>
            <w:r>
              <w:rPr>
                <w:rFonts w:hint="eastAsia" w:hAnsi="宋体" w:eastAsia="宋体" w:cs="宋体"/>
                <w:color w:val="000000" w:themeColor="text1"/>
                <w:sz w:val="24"/>
                <w:szCs w:val="24"/>
                <w:highlight w:val="none"/>
                <w:lang w:val="en-US" w:eastAsia="zh-CN"/>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bookmarkEnd w:id="11"/>
            <w:bookmarkEnd w:id="12"/>
          </w:p>
          <w:p>
            <w:pPr>
              <w:pStyle w:val="21"/>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bookmarkStart w:id="13" w:name="_Toc19534"/>
            <w:bookmarkStart w:id="14" w:name="_Toc26718"/>
            <w:r>
              <w:rPr>
                <w:rFonts w:hint="eastAsia" w:hAnsi="宋体" w:eastAsia="宋体" w:cs="宋体"/>
                <w:color w:val="000000" w:themeColor="text1"/>
                <w:sz w:val="24"/>
                <w:szCs w:val="24"/>
                <w:highlight w:val="none"/>
                <w:lang w:val="en-US" w:eastAsia="zh-CN"/>
                <w14:textFill>
                  <w14:solidFill>
                    <w14:schemeClr w14:val="tx1"/>
                  </w14:solidFill>
                </w14:textFill>
              </w:rPr>
              <w:t>14.5报价文件应在磋商邀请中规定的截止时间前送达，迟到的报价文件为无效报价文件，将被拒绝。</w:t>
            </w:r>
            <w:bookmarkEnd w:id="13"/>
            <w:bookmarkEnd w:id="14"/>
          </w:p>
          <w:p>
            <w:pPr>
              <w:pStyle w:val="21"/>
              <w:spacing w:line="360" w:lineRule="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w:t>
            </w:r>
            <w:bookmarkStart w:id="15" w:name="_Toc14922"/>
            <w:bookmarkStart w:id="16" w:name="_Toc27703"/>
            <w:r>
              <w:rPr>
                <w:rFonts w:hint="eastAsia" w:hAnsi="宋体" w:eastAsia="宋体" w:cs="宋体"/>
                <w:color w:val="000000" w:themeColor="text1"/>
                <w:sz w:val="24"/>
                <w:szCs w:val="24"/>
                <w:highlight w:val="none"/>
                <w:lang w:val="en-US" w:eastAsia="zh-CN"/>
                <w14:textFill>
                  <w14:solidFill>
                    <w14:schemeClr w14:val="tx1"/>
                  </w14:solidFill>
                </w14:textFill>
              </w:rPr>
              <w:t>14.7报价人在磋商响应截止期后不得修改、撤回报价文件。报价人在报价截止期后修改报价文件的，其磋商响应将被拒绝。</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6"/>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17.4报价人提交的报价文件将给予保密，但不予退回。</w:t>
            </w:r>
          </w:p>
          <w:p>
            <w:pPr>
              <w:pStyle w:val="4"/>
              <w:snapToGrid w:val="0"/>
              <w:spacing w:line="360" w:lineRule="auto"/>
              <w:ind w:firstLine="480" w:firstLineChars="200"/>
              <w:outlineLvl w:val="0"/>
              <w:rPr>
                <w:rFonts w:hint="eastAsia" w:eastAsia="宋体" w:cs="宋体"/>
                <w:color w:val="000000" w:themeColor="text1"/>
                <w:sz w:val="24"/>
                <w:szCs w:val="24"/>
                <w:highlight w:val="none"/>
                <w:lang w:val="en-US" w:eastAsia="zh-CN"/>
                <w14:textFill>
                  <w14:solidFill>
                    <w14:schemeClr w14:val="tx1"/>
                  </w14:solidFill>
                </w14:textFill>
              </w:rPr>
            </w:pPr>
            <w:bookmarkStart w:id="17" w:name="_Toc27679"/>
            <w:bookmarkStart w:id="18" w:name="_Toc13598"/>
            <w:r>
              <w:rPr>
                <w:rFonts w:hint="eastAsia" w:eastAsia="宋体" w:cs="宋体"/>
                <w:color w:val="000000" w:themeColor="text1"/>
                <w:sz w:val="24"/>
                <w:szCs w:val="24"/>
                <w:highlight w:val="none"/>
                <w:lang w:val="en-US" w:eastAsia="zh-CN"/>
                <w14:textFill>
                  <w14:solidFill>
                    <w14:schemeClr w14:val="tx1"/>
                  </w14:solidFill>
                </w14:textFill>
              </w:rPr>
              <w:t>17.5报价人资格和报价产品均必须满足中华人民共和国相关法律法规及行业的强制性要求，否则将作无效响应处理。</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pPr>
              <w:pStyle w:val="6"/>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pacing w:val="-4"/>
                <w:sz w:val="24"/>
                <w:szCs w:val="24"/>
                <w:highlight w:val="none"/>
                <w14:textFill>
                  <w14:solidFill>
                    <w14:schemeClr w14:val="tx1"/>
                  </w14:solidFill>
                </w14:textFill>
              </w:rPr>
              <w:t>*</w:t>
            </w:r>
            <w:r>
              <w:rPr>
                <w:rFonts w:hint="eastAsia" w:ascii="宋体" w:hAnsi="宋体" w:cs="宋体"/>
                <w:b/>
                <w:color w:val="000000" w:themeColor="text1"/>
                <w:spacing w:val="-4"/>
                <w:sz w:val="24"/>
                <w:szCs w:val="24"/>
                <w:highlight w:val="none"/>
                <w:lang w:val="en-US" w:eastAsia="zh-CN"/>
                <w14:textFill>
                  <w14:solidFill>
                    <w14:schemeClr w14:val="tx1"/>
                  </w14:solidFill>
                </w14:textFill>
              </w:rPr>
              <w:t>4.1</w:t>
            </w:r>
            <w:r>
              <w:rPr>
                <w:rFonts w:hint="eastAsia" w:ascii="宋体" w:hAnsi="宋体" w:cs="宋体"/>
                <w:b/>
                <w:color w:val="000000" w:themeColor="text1"/>
                <w:sz w:val="24"/>
                <w:szCs w:val="24"/>
                <w:highlight w:val="none"/>
                <w:lang w:eastAsia="zh-CN"/>
                <w14:textFill>
                  <w14:solidFill>
                    <w14:schemeClr w14:val="tx1"/>
                  </w14:solidFill>
                </w14:textFill>
              </w:rPr>
              <w:t>本采购项目的采购预算为人民币12万元，采购预算为总报价的最高限价，任何一次总报价超过采购预算的属无效报价</w:t>
            </w:r>
            <w:r>
              <w:rPr>
                <w:rFonts w:hint="eastAsia" w:ascii="宋体" w:hAnsi="宋体" w:eastAsia="宋体" w:cs="宋体"/>
                <w:b/>
                <w:color w:val="000000" w:themeColor="text1"/>
                <w:spacing w:val="4"/>
                <w:sz w:val="24"/>
                <w:szCs w:val="24"/>
                <w:highlight w:val="none"/>
                <w14:textFill>
                  <w14:solidFill>
                    <w14:schemeClr w14:val="tx1"/>
                  </w14:solidFill>
                </w14:textFill>
              </w:rPr>
              <w:t>。</w:t>
            </w:r>
          </w:p>
        </w:tc>
      </w:tr>
    </w:tbl>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autoSpaceDE w:val="0"/>
        <w:autoSpaceDN w:val="0"/>
        <w:adjustRightInd w:val="0"/>
        <w:spacing w:line="360" w:lineRule="auto"/>
        <w:jc w:val="left"/>
        <w:rPr>
          <w:rStyle w:val="16"/>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24"/>
          <w:szCs w:val="24"/>
          <w:highlight w:val="none"/>
          <w:u w:val="single"/>
          <w14:textFill>
            <w14:solidFill>
              <w14:schemeClr w14:val="tx1"/>
            </w14:solidFill>
          </w14:textFill>
        </w:rPr>
      </w:pPr>
      <w:bookmarkStart w:id="19" w:name="_Toc29061"/>
      <w:r>
        <w:rPr>
          <w:rFonts w:hint="eastAsia" w:ascii="宋体" w:hAnsi="宋体" w:eastAsia="宋体" w:cs="宋体"/>
          <w:b/>
          <w:color w:val="000000" w:themeColor="text1"/>
          <w:sz w:val="32"/>
          <w:szCs w:val="32"/>
          <w:highlight w:val="none"/>
          <w:u w:val="single"/>
          <w14:textFill>
            <w14:solidFill>
              <w14:schemeClr w14:val="tx1"/>
            </w14:solidFill>
          </w14:textFill>
        </w:rPr>
        <w:t>报价人须知前附表3：磋商规则、评审标准</w:t>
      </w:r>
      <w:bookmarkEnd w:id="1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0" w:name="_Toc4662"/>
            <w:bookmarkStart w:id="21" w:name="_Toc7056"/>
            <w:r>
              <w:rPr>
                <w:rFonts w:hint="eastAsia" w:ascii="宋体" w:hAnsi="宋体" w:eastAsia="宋体" w:cs="宋体"/>
                <w:b/>
                <w:bCs/>
                <w:color w:val="000000" w:themeColor="text1"/>
                <w:sz w:val="24"/>
                <w:szCs w:val="24"/>
                <w:highlight w:val="none"/>
                <w14:textFill>
                  <w14:solidFill>
                    <w14:schemeClr w14:val="tx1"/>
                  </w14:solidFill>
                </w14:textFill>
              </w:rPr>
              <w:t>一、磋商规则:</w:t>
            </w:r>
            <w:bookmarkEnd w:id="20"/>
            <w:bookmarkEnd w:id="21"/>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pPr>
              <w:spacing w:line="360" w:lineRule="auto"/>
              <w:ind w:left="55" w:leftChars="26" w:right="-120" w:rightChars="-57"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确定候选供应商原则</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A.磋商小组采用综合评分的方法确定成交候选供应商，磋商小组按照：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 成交候选供应商的数量≥3个；</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pPr>
              <w:spacing w:line="360" w:lineRule="auto"/>
              <w:ind w:left="55" w:leftChars="26"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D.如果有多家</w:t>
            </w:r>
            <w:r>
              <w:rPr>
                <w:rFonts w:hint="eastAsia" w:ascii="宋体" w:hAnsi="宋体" w:cs="宋体"/>
                <w:color w:val="000000" w:themeColor="text1"/>
                <w:sz w:val="24"/>
                <w:szCs w:val="24"/>
                <w:highlight w:val="none"/>
                <w:lang w:eastAsia="zh-CN"/>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以同一品牌的产品参加</w:t>
            </w:r>
            <w:r>
              <w:rPr>
                <w:rFonts w:hint="eastAsia" w:ascii="宋体" w:hAnsi="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，只能视为一家。提供相同品牌产品且通过资格审查、符合性审查的不同</w:t>
            </w:r>
            <w:r>
              <w:rPr>
                <w:rFonts w:hint="eastAsia" w:ascii="宋体" w:hAnsi="宋体" w:cs="宋体"/>
                <w:color w:val="000000" w:themeColor="text1"/>
                <w:sz w:val="24"/>
                <w:szCs w:val="24"/>
                <w:highlight w:val="none"/>
                <w:lang w:eastAsia="zh-CN"/>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参加同一合同项下</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的，按一家</w:t>
            </w:r>
            <w:r>
              <w:rPr>
                <w:rFonts w:hint="eastAsia" w:ascii="宋体" w:hAnsi="宋体" w:cs="宋体"/>
                <w:color w:val="000000" w:themeColor="text1"/>
                <w:sz w:val="24"/>
                <w:szCs w:val="24"/>
                <w:highlight w:val="none"/>
                <w:lang w:eastAsia="zh-CN"/>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计算，评审后得分最高的同品牌</w:t>
            </w:r>
            <w:r>
              <w:rPr>
                <w:rFonts w:hint="eastAsia" w:ascii="宋体" w:hAnsi="宋体" w:cs="宋体"/>
                <w:color w:val="000000" w:themeColor="text1"/>
                <w:sz w:val="24"/>
                <w:szCs w:val="24"/>
                <w:highlight w:val="none"/>
                <w:lang w:eastAsia="zh-CN"/>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供应商推荐资格；评审得分相同的，由采购人委托</w:t>
            </w:r>
            <w:r>
              <w:rPr>
                <w:rFonts w:hint="eastAsia" w:ascii="宋体" w:hAnsi="宋体"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规定的方式确定一个</w:t>
            </w:r>
            <w:r>
              <w:rPr>
                <w:rFonts w:hint="eastAsia" w:ascii="宋体" w:hAnsi="宋体" w:cs="宋体"/>
                <w:color w:val="000000" w:themeColor="text1"/>
                <w:sz w:val="24"/>
                <w:szCs w:val="24"/>
                <w:highlight w:val="none"/>
                <w:lang w:eastAsia="zh-CN"/>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供应商推荐资格，</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未规定的采取随机抽取方式确定，其他同品牌</w:t>
            </w:r>
            <w:r>
              <w:rPr>
                <w:rFonts w:hint="eastAsia" w:ascii="宋体" w:hAnsi="宋体" w:cs="宋体"/>
                <w:color w:val="000000" w:themeColor="text1"/>
                <w:sz w:val="24"/>
                <w:szCs w:val="24"/>
                <w:highlight w:val="none"/>
                <w:lang w:eastAsia="zh-CN"/>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不作为</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候选人。非单一产品采购项目，采购人应当根据采购项目技术构成、产品价格比重等合理确定核心产品，并在</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tabs>
                <w:tab w:val="left" w:pos="10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二、磋商可能实质性变动的内容：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1.采购需求技术内容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2.采购需求货物内容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合同草案条款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三、磋商评审标准：具体见附件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成交供应商拒绝签订采购合同的，采购人可以按照成交候选供应商的排序顺序由高到低</w:t>
            </w:r>
            <w:r>
              <w:rPr>
                <w:rFonts w:hint="eastAsia" w:ascii="宋体" w:hAnsi="宋体" w:eastAsia="宋体" w:cs="宋体"/>
                <w:color w:val="000000" w:themeColor="text1"/>
                <w:sz w:val="24"/>
                <w:szCs w:val="24"/>
                <w:highlight w:val="none"/>
                <w14:textFill>
                  <w14:solidFill>
                    <w14:schemeClr w14:val="tx1"/>
                  </w14:solidFill>
                </w14:textFill>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pPr>
        <w:pStyle w:val="4"/>
        <w:snapToGrid w:val="0"/>
        <w:spacing w:line="360" w:lineRule="auto"/>
        <w:ind w:firstLine="0"/>
        <w:rPr>
          <w:rFonts w:hint="eastAsia" w:eastAsia="宋体" w:cs="宋体"/>
          <w:b/>
          <w:color w:val="000000" w:themeColor="text1"/>
          <w:sz w:val="24"/>
          <w:szCs w:val="24"/>
          <w:highlight w:val="none"/>
          <w:u w:val="single"/>
          <w14:textFill>
            <w14:solidFill>
              <w14:schemeClr w14:val="tx1"/>
            </w14:solidFill>
          </w14:textFill>
        </w:rPr>
      </w:pPr>
      <w:r>
        <w:rPr>
          <w:rFonts w:hint="eastAsia" w:eastAsia="宋体" w:cs="宋体"/>
          <w:b/>
          <w:color w:val="000000" w:themeColor="text1"/>
          <w:sz w:val="24"/>
          <w:szCs w:val="24"/>
          <w:highlight w:val="none"/>
          <w:u w:val="single"/>
          <w14:textFill>
            <w14:solidFill>
              <w14:schemeClr w14:val="tx1"/>
            </w14:solidFill>
          </w14:textFill>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bookmarkStart w:id="22" w:name="_Toc32372"/>
      <w:r>
        <w:rPr>
          <w:rFonts w:hint="eastAsia" w:ascii="宋体" w:hAnsi="宋体" w:eastAsia="宋体" w:cs="宋体"/>
          <w:b/>
          <w:color w:val="000000" w:themeColor="text1"/>
          <w:sz w:val="24"/>
          <w:szCs w:val="24"/>
          <w:highlight w:val="none"/>
          <w14:textFill>
            <w14:solidFill>
              <w14:schemeClr w14:val="tx1"/>
            </w14:solidFill>
          </w14:textFill>
        </w:rPr>
        <w:t>附件：综合评分法：</w:t>
      </w:r>
      <w:r>
        <w:rPr>
          <w:rFonts w:hint="eastAsia" w:ascii="宋体" w:hAnsi="宋体" w:eastAsia="宋体" w:cs="宋体"/>
          <w:color w:val="000000" w:themeColor="text1"/>
          <w:sz w:val="24"/>
          <w:szCs w:val="24"/>
          <w:highlight w:val="none"/>
          <w14:textFill>
            <w14:solidFill>
              <w14:schemeClr w14:val="tx1"/>
            </w14:solidFill>
          </w14:textFill>
        </w:rPr>
        <w:t>综合得分= F1+F2+F3+B</w:t>
      </w:r>
      <w:bookmarkEnd w:id="22"/>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bookmarkStart w:id="23" w:name="_Toc28249"/>
      <w:r>
        <w:rPr>
          <w:rFonts w:hint="eastAsia" w:ascii="宋体" w:hAnsi="宋体" w:eastAsia="宋体" w:cs="宋体"/>
          <w:bCs/>
          <w:color w:val="000000" w:themeColor="text1"/>
          <w:sz w:val="24"/>
          <w:szCs w:val="24"/>
          <w:highlight w:val="none"/>
          <w14:textFill>
            <w14:solidFill>
              <w14:schemeClr w14:val="tx1"/>
            </w14:solidFill>
          </w14:textFill>
        </w:rPr>
        <w:t>注：以联合体形式响应磋商的，只能以联合体其中一方具备的条件作为评审依据。报价人在报价文件中必须以联合体的确定一方的条件参与商务部分的评审。</w:t>
      </w:r>
      <w:bookmarkEnd w:id="23"/>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bookmarkStart w:id="24" w:name="_Toc831"/>
      <w:r>
        <w:rPr>
          <w:rFonts w:hint="eastAsia" w:ascii="宋体" w:hAnsi="宋体" w:eastAsia="宋体" w:cs="宋体"/>
          <w:b/>
          <w:color w:val="000000" w:themeColor="text1"/>
          <w:sz w:val="24"/>
          <w:szCs w:val="24"/>
          <w:highlight w:val="none"/>
          <w14:textFill>
            <w14:solidFill>
              <w14:schemeClr w14:val="tx1"/>
            </w14:solidFill>
          </w14:textFill>
        </w:rPr>
        <w:t>（一）技术评分（F1）标准（满分</w:t>
      </w:r>
      <w:r>
        <w:rPr>
          <w:rFonts w:hint="eastAsia" w:ascii="宋体" w:hAnsi="宋体" w:cs="宋体"/>
          <w:b/>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b/>
          <w:color w:val="000000" w:themeColor="text1"/>
          <w:sz w:val="24"/>
          <w:szCs w:val="24"/>
          <w:highlight w:val="none"/>
          <w14:textFill>
            <w14:solidFill>
              <w14:schemeClr w14:val="tx1"/>
            </w14:solidFill>
          </w14:textFill>
        </w:rPr>
        <w:t>分）：</w:t>
      </w:r>
      <w:bookmarkEnd w:id="24"/>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eastAsia" w:ascii="宋体" w:hAnsi="宋体" w:eastAsia="宋体" w:cs="宋体"/>
                <w:color w:val="000000" w:themeColor="text1"/>
                <w:kern w:val="1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684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评分界定</w:t>
            </w:r>
          </w:p>
        </w:tc>
        <w:tc>
          <w:tcPr>
            <w:tcW w:w="118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eastAsia" w:ascii="宋体" w:hAnsi="宋体" w:eastAsia="宋体" w:cs="宋体"/>
                <w:color w:val="000000" w:themeColor="text1"/>
                <w:kern w:val="1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40"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▲2.1最大秤量(全量程/精细量程)、可读性：60/120g 、0.01/0.1mg。十万分之一量程段可移动（皮重不占精度）。（提供产品技术说明书或彩页佐证）”的响应情况进行评价：完全满足得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eastAsia" w:ascii="宋体" w:hAnsi="宋体" w:eastAsia="宋体" w:cs="宋体"/>
                <w:color w:val="000000" w:themeColor="text1"/>
                <w:kern w:val="1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6840"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▲2.2操作范围的最佳起点：10 mg。（提供产品技术说明书或彩页佐证）”的响应情况进行评价：完全满足得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6840"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▲2.3接近最大量程处重复性≤±0.06mg，线性≤±0.15mg。（提供产品技术说明书或彩页佐证）”的响应情况进行评价：完全满足得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6840"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▲2.4典型的稳定时间≤2s，典型的测量时间≤6s。（提供产品技术说明书或彩页佐证）”的响应情况进行评价：完全满足得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6840"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▲2.6彩色不小于7英寸16：9 TFT触摸屏，清晰显示文本和图形，操作简单。（提供产品技术说明书或彩页佐证）”的响应情况进行评价：完全满足得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▲2.7标配全自动一键式水平调节功能，自动马达驱动，无需手动调整水平。（提供产品技术说明书或彩页佐证）”的响应情况进行评价：完全满足得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6840"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2.8电动防风罩，具有智能学习能力，可任意定义侧门和顶门的开合幅度</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6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▲2.9配置手势感应器，可配不少于4种手势命令，包括开关门，去静电，去皮，打印等，实现全程无触碰操作。（提供产品技术说明书或彩页佐证）</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p>
        </w:tc>
        <w:tc>
          <w:tcPr>
            <w:tcW w:w="6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▲2.10防风罩内置静电消除器，具有不少于4个除静电口，称量样品无需拿出称量室即可方便的消除静电对称量的干扰。（提供产品技术说明书或彩页佐证）</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6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2.11钛合金称盘，无磁、耐腐蚀。</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p>
        </w:tc>
        <w:tc>
          <w:tcPr>
            <w:tcW w:w="6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2.12配置状态显示中心，显示天平和环境条件信息，实时监测天平的水平状态和校准情况，并提供报警功能。</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2.13两种密码管理方式，支持本地密码和集成到局域网中的用户密码管理。”的响应情况进行评价：完全满足得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w:t>
            </w:r>
          </w:p>
        </w:tc>
        <w:tc>
          <w:tcPr>
            <w:tcW w:w="6840"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2.14具有审计追踪（Audit Trail）功能，记录天平的各项设置更改，校准记录，所有信息均可筛选通过U盘导出（CSV和PDF可选）并带MD5防伪码。</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6840"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2.15具有isoCAL功能，可实现由温度和时间触发的自动内部校准功能，内置两组校准砝码，可灵活定义天平进行内部校准、外部校准、多点线性校准。”的响应情况进行评价：完全满足得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▲2.16多级用户管理功能，除管理员、操作者、访客、服务外还可根据用户需求建立组群，进行管理。可给每个用户分配不同的权限，设置密码保护。（提供产品技术说明书或彩页佐证）</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2.17内置存储器，可存储不少于15万条称重数据，并且具有循环覆盖机制；所有记录可通过U盘进行安全备份（CSV和PDF可选）并带MD5防伪码。</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17</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2.18包含所有元数据的GLP打印、用户可自定义数据输出方式和内容（打印机，FTP，U盘），打印预览，错误数据可进行无效处理及原因说明。</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2.19符合21 CFR Part 11电子签名，电子签名只开放给有密码保护的用户，具有唯一可识别性。”的响应情况进行评价：完全满足得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19</w:t>
            </w:r>
          </w:p>
        </w:tc>
        <w:tc>
          <w:tcPr>
            <w:tcW w:w="6840"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b w:val="0"/>
                <w:bCs/>
                <w:i w:val="0"/>
                <w:iCs w:val="0"/>
                <w:color w:val="000000" w:themeColor="text1"/>
                <w:spacing w:val="-6"/>
                <w:kern w:val="2"/>
                <w:sz w:val="24"/>
                <w:szCs w:val="24"/>
                <w:highlight w:val="none"/>
                <w:lang w:val="en-US" w:eastAsia="zh-CN" w:bidi="ar-SA"/>
                <w14:textFill>
                  <w14:solidFill>
                    <w14:schemeClr w14:val="tx1"/>
                  </w14:solidFill>
                </w14:textFill>
              </w:rPr>
              <w:t>▲2.20标配不少4个USB、1个RS232，以太网口。接口开放，支持各种设备联用和系统接入。（提供产品技术说明书或彩页佐证）</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否则不得分</w:t>
            </w:r>
            <w:r>
              <w:rPr>
                <w:rFonts w:hint="eastAsia" w:ascii="宋体" w:hAnsi="宋体" w:cs="宋体"/>
                <w:bCs/>
                <w:color w:val="000000" w:themeColor="text1"/>
                <w:kern w:val="0"/>
                <w:sz w:val="24"/>
                <w:highlight w:val="none"/>
                <w14:textFill>
                  <w14:solidFill>
                    <w14:schemeClr w14:val="tx1"/>
                  </w14:solidFill>
                </w14:textFill>
              </w:rPr>
              <w:t>。</w:t>
            </w:r>
          </w:p>
        </w:tc>
        <w:tc>
          <w:tcPr>
            <w:tcW w:w="118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bookmarkStart w:id="25" w:name="_Toc20346"/>
            <w:bookmarkStart w:id="26" w:name="_Toc3558"/>
            <w:r>
              <w:rPr>
                <w:rFonts w:hint="eastAsia" w:ascii="宋体" w:hAnsi="宋体" w:cs="宋体"/>
                <w:color w:val="000000" w:themeColor="text1"/>
                <w:sz w:val="24"/>
                <w:szCs w:val="24"/>
                <w:highlight w:val="none"/>
                <w:lang w:val="en-US" w:eastAsia="zh-CN"/>
                <w14:textFill>
                  <w14:solidFill>
                    <w14:schemeClr w14:val="tx1"/>
                  </w14:solidFill>
                </w14:textFill>
              </w:rPr>
              <w:t>20</w:t>
            </w:r>
          </w:p>
        </w:tc>
        <w:tc>
          <w:tcPr>
            <w:tcW w:w="6840"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根据供应商对磋商文件第三章磋商内容及要求“2.21配置</w:t>
            </w:r>
            <w:r>
              <w:rPr>
                <w:rFonts w:hint="eastAsia" w:ascii="宋体" w:hAnsi="宋体" w:cs="宋体"/>
                <w:color w:val="000000" w:themeColor="text1"/>
                <w:sz w:val="24"/>
                <w:highlight w:val="none"/>
                <w:lang w:val="en-US" w:eastAsia="zh-CN"/>
                <w14:textFill>
                  <w14:solidFill>
                    <w14:schemeClr w14:val="tx1"/>
                  </w14:solidFill>
                </w14:textFill>
              </w:rPr>
              <w:t>要求</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noWrap w:val="0"/>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w:t>
            </w:r>
          </w:p>
        </w:tc>
        <w:tc>
          <w:tcPr>
            <w:tcW w:w="6840" w:type="dxa"/>
            <w:noWrap w:val="0"/>
            <w:vAlign w:val="center"/>
          </w:tcPr>
          <w:p>
            <w:p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根据供应商对磋商文件第三章磋商内容及要求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eastAsia="宋体" w:cs="宋体"/>
                <w:color w:val="000000" w:themeColor="text1"/>
                <w:sz w:val="24"/>
                <w:szCs w:val="24"/>
                <w:highlight w:val="none"/>
                <w:lang w:eastAsia="zh-CN"/>
                <w14:textFill>
                  <w14:solidFill>
                    <w14:schemeClr w14:val="tx1"/>
                  </w14:solidFill>
                </w14:textFill>
              </w:rPr>
              <w:t>免费质保期内，买方必须全部使用卖方提供的原厂备品、备件、消耗品。质保期内，如遇公司软件升级, 制造商为用户免费进行软件的升级。”</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cs="宋体"/>
                <w:bCs/>
                <w:color w:val="000000" w:themeColor="text1"/>
                <w:kern w:val="0"/>
                <w:sz w:val="24"/>
                <w:highlight w:val="none"/>
                <w14:textFill>
                  <w14:solidFill>
                    <w14:schemeClr w14:val="tx1"/>
                  </w14:solidFill>
                </w14:textFill>
              </w:rPr>
              <w:t>响应情况进行评价</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供应商须作出书面承诺，</w:t>
            </w:r>
            <w:r>
              <w:rPr>
                <w:rFonts w:hint="eastAsia" w:ascii="宋体" w:hAnsi="宋体" w:cs="宋体"/>
                <w:bCs/>
                <w:color w:val="000000" w:themeColor="text1"/>
                <w:kern w:val="0"/>
                <w:sz w:val="24"/>
                <w:highlight w:val="none"/>
                <w14:textFill>
                  <w14:solidFill>
                    <w14:schemeClr w14:val="tx1"/>
                  </w14:solidFill>
                </w14:textFill>
              </w:rPr>
              <w:t>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未提供或未满足要求的不得分。</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noWrap w:val="0"/>
            <w:vAlign w:val="center"/>
          </w:tcPr>
          <w:p>
            <w:pPr>
              <w:pStyle w:val="22"/>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22</w:t>
            </w:r>
          </w:p>
        </w:tc>
        <w:tc>
          <w:tcPr>
            <w:tcW w:w="6840" w:type="dxa"/>
            <w:noWrap w:val="0"/>
            <w:vAlign w:val="center"/>
          </w:tcPr>
          <w:p>
            <w:p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根据供应商对磋商文件第三章磋商内容及要求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6.3</w:t>
            </w:r>
            <w:r>
              <w:rPr>
                <w:rFonts w:hint="eastAsia" w:ascii="宋体" w:hAnsi="宋体" w:eastAsia="宋体" w:cs="宋体"/>
                <w:color w:val="000000" w:themeColor="text1"/>
                <w:sz w:val="24"/>
                <w:szCs w:val="24"/>
                <w:highlight w:val="none"/>
                <w:lang w:eastAsia="zh-CN"/>
                <w14:textFill>
                  <w14:solidFill>
                    <w14:schemeClr w14:val="tx1"/>
                  </w14:solidFill>
                </w14:textFill>
              </w:rPr>
              <w:t>设备质保期后制造商能对设备提供终身优惠的技术支持。制造商的技术人员，一年至少回访用户1～2 次（形式可采取现场、电话等）”</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cs="宋体"/>
                <w:bCs/>
                <w:color w:val="000000" w:themeColor="text1"/>
                <w:kern w:val="0"/>
                <w:sz w:val="24"/>
                <w:highlight w:val="none"/>
                <w14:textFill>
                  <w14:solidFill>
                    <w14:schemeClr w14:val="tx1"/>
                  </w14:solidFill>
                </w14:textFill>
              </w:rPr>
              <w:t>响应情况进行评价</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供应商须作出书面承诺，</w:t>
            </w:r>
            <w:r>
              <w:rPr>
                <w:rFonts w:hint="eastAsia" w:ascii="宋体" w:hAnsi="宋体" w:cs="宋体"/>
                <w:bCs/>
                <w:color w:val="000000" w:themeColor="text1"/>
                <w:kern w:val="0"/>
                <w:sz w:val="24"/>
                <w:highlight w:val="none"/>
                <w14:textFill>
                  <w14:solidFill>
                    <w14:schemeClr w14:val="tx1"/>
                  </w14:solidFill>
                </w14:textFill>
              </w:rPr>
              <w:t>完全满足得</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未提供或未满足要求的不得分。</w:t>
            </w:r>
          </w:p>
        </w:tc>
        <w:tc>
          <w:tcPr>
            <w:tcW w:w="1186" w:type="dxa"/>
            <w:noWrap w:val="0"/>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noWrap w:val="0"/>
            <w:vAlign w:val="center"/>
          </w:tcPr>
          <w:p>
            <w:pPr>
              <w:spacing w:line="36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r>
              <w:rPr>
                <w:rFonts w:hint="eastAsia" w:ascii="宋体" w:hAnsi="宋体" w:eastAsia="宋体" w:cs="宋体"/>
                <w:color w:val="000000" w:themeColor="text1"/>
                <w:kern w:val="0"/>
                <w:sz w:val="24"/>
                <w:szCs w:val="24"/>
                <w:highlight w:val="none"/>
                <w14:textFill>
                  <w14:solidFill>
                    <w14:schemeClr w14:val="tx1"/>
                  </w14:solidFill>
                </w14:textFill>
              </w:rPr>
              <w:t>报价人应提供证明材料并标注对应关系，未按要求提供证明材料的，认定该项技术指标不得分；报价人</w:t>
            </w:r>
            <w:r>
              <w:rPr>
                <w:rFonts w:hint="eastAsia" w:ascii="宋体" w:hAnsi="宋体" w:eastAsia="宋体" w:cs="宋体"/>
                <w:color w:val="000000" w:themeColor="text1"/>
                <w:sz w:val="24"/>
                <w:szCs w:val="24"/>
                <w:highlight w:val="none"/>
                <w14:textFill>
                  <w14:solidFill>
                    <w14:schemeClr w14:val="tx1"/>
                  </w14:solidFill>
                </w14:textFill>
              </w:rPr>
              <w:t>应如实表述其货物的技术指标，如</w:t>
            </w:r>
            <w:r>
              <w:rPr>
                <w:rFonts w:hint="eastAsia" w:ascii="宋体" w:hAnsi="宋体" w:eastAsia="宋体" w:cs="宋体"/>
                <w:color w:val="000000" w:themeColor="text1"/>
                <w:kern w:val="0"/>
                <w:sz w:val="24"/>
                <w:szCs w:val="24"/>
                <w:highlight w:val="none"/>
                <w14:textFill>
                  <w14:solidFill>
                    <w14:schemeClr w14:val="tx1"/>
                  </w14:solidFill>
                </w14:textFill>
              </w:rPr>
              <w:t>报价人</w:t>
            </w:r>
            <w:r>
              <w:rPr>
                <w:rFonts w:hint="eastAsia" w:ascii="宋体" w:hAnsi="宋体" w:eastAsia="宋体" w:cs="宋体"/>
                <w:color w:val="000000" w:themeColor="text1"/>
                <w:sz w:val="24"/>
                <w:szCs w:val="24"/>
                <w:highlight w:val="none"/>
                <w14:textFill>
                  <w14:solidFill>
                    <w14:schemeClr w14:val="tx1"/>
                  </w14:solidFill>
                </w14:textFill>
              </w:rPr>
              <w:t>复制采购文件的磋商内容作为其报价文件组成内容的，磋商小组将对其作出不利的评审。</w:t>
            </w:r>
            <w:bookmarkEnd w:id="25"/>
            <w:bookmarkEnd w:id="26"/>
          </w:p>
        </w:tc>
      </w:tr>
    </w:tbl>
    <w:p>
      <w:pPr>
        <w:pStyle w:val="4"/>
        <w:snapToGrid w:val="0"/>
        <w:spacing w:line="360" w:lineRule="auto"/>
        <w:ind w:firstLine="0"/>
        <w:rPr>
          <w:rFonts w:hint="eastAsia" w:eastAsia="宋体" w:cs="宋体"/>
          <w:b/>
          <w:color w:val="000000" w:themeColor="text1"/>
          <w:sz w:val="24"/>
          <w:szCs w:val="24"/>
          <w:highlight w:val="none"/>
          <w:lang w:val="en-US" w:eastAsia="zh-CN"/>
          <w14:textFill>
            <w14:solidFill>
              <w14:schemeClr w14:val="tx1"/>
            </w14:solidFill>
          </w14:textFill>
        </w:rPr>
      </w:pPr>
      <w:r>
        <w:rPr>
          <w:rFonts w:hint="eastAsia" w:eastAsia="宋体" w:cs="宋体"/>
          <w:b/>
          <w:color w:val="000000" w:themeColor="text1"/>
          <w:sz w:val="24"/>
          <w:szCs w:val="24"/>
          <w:highlight w:val="none"/>
          <w:lang w:val="en-US" w:eastAsia="zh-CN"/>
          <w14:textFill>
            <w14:solidFill>
              <w14:schemeClr w14:val="tx1"/>
            </w14:solidFill>
          </w14:textFill>
        </w:rPr>
        <w:t>（二）商务评分（F2）标准（满分</w:t>
      </w:r>
      <w:r>
        <w:rPr>
          <w:rFonts w:hint="eastAsia" w:cs="宋体"/>
          <w:b/>
          <w:color w:val="000000" w:themeColor="text1"/>
          <w:sz w:val="24"/>
          <w:szCs w:val="24"/>
          <w:highlight w:val="none"/>
          <w:lang w:val="en-US" w:eastAsia="zh-CN"/>
          <w14:textFill>
            <w14:solidFill>
              <w14:schemeClr w14:val="tx1"/>
            </w14:solidFill>
          </w14:textFill>
        </w:rPr>
        <w:t>15</w:t>
      </w:r>
      <w:r>
        <w:rPr>
          <w:rFonts w:hint="eastAsia" w:eastAsia="宋体" w:cs="宋体"/>
          <w:b/>
          <w:color w:val="000000" w:themeColor="text1"/>
          <w:sz w:val="24"/>
          <w:szCs w:val="24"/>
          <w:highlight w:val="none"/>
          <w:lang w:val="en-US" w:eastAsia="zh-CN"/>
          <w14:textFill>
            <w14:solidFill>
              <w14:schemeClr w14:val="tx1"/>
            </w14:solidFill>
          </w14:textFill>
        </w:rPr>
        <w:t>分）：</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834"/>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jc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序号</w:t>
            </w:r>
          </w:p>
        </w:tc>
        <w:tc>
          <w:tcPr>
            <w:tcW w:w="6834" w:type="dxa"/>
            <w:noWrap w:val="0"/>
            <w:vAlign w:val="center"/>
          </w:tcPr>
          <w:p>
            <w:pPr>
              <w:pStyle w:val="23"/>
              <w:spacing w:line="360" w:lineRule="auto"/>
              <w:jc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评分界定</w:t>
            </w:r>
          </w:p>
        </w:tc>
        <w:tc>
          <w:tcPr>
            <w:tcW w:w="1267" w:type="dxa"/>
            <w:noWrap w:val="0"/>
            <w:vAlign w:val="center"/>
          </w:tcPr>
          <w:p>
            <w:pPr>
              <w:pStyle w:val="23"/>
              <w:spacing w:line="360" w:lineRule="auto"/>
              <w:jc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1</w:t>
            </w:r>
          </w:p>
        </w:tc>
        <w:tc>
          <w:tcPr>
            <w:tcW w:w="6834" w:type="dxa"/>
            <w:noWrap w:val="0"/>
            <w:vAlign w:val="center"/>
          </w:tcPr>
          <w:p>
            <w:pPr>
              <w:widowControl/>
              <w:spacing w:line="360" w:lineRule="auto"/>
              <w:jc w:val="left"/>
              <w:textAlignment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根据供应商针对本项目提供的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质保期</w:t>
            </w:r>
            <w:r>
              <w:rPr>
                <w:rFonts w:hint="eastAsia" w:ascii="宋体" w:hAnsi="宋体" w:eastAsia="宋体" w:cs="宋体"/>
                <w:color w:val="000000" w:themeColor="text1"/>
                <w:kern w:val="0"/>
                <w:sz w:val="24"/>
                <w:szCs w:val="24"/>
                <w:highlight w:val="none"/>
                <w14:textFill>
                  <w14:solidFill>
                    <w14:schemeClr w14:val="tx1"/>
                  </w14:solidFill>
                </w14:textFill>
              </w:rPr>
              <w:t>承诺进行评价：在满足磋商文件要求（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最终用户验收之日（安装调试合格后）起24个月</w:t>
            </w:r>
            <w:r>
              <w:rPr>
                <w:rFonts w:hint="eastAsia" w:ascii="宋体" w:hAnsi="宋体" w:eastAsia="宋体" w:cs="宋体"/>
                <w:color w:val="000000" w:themeColor="text1"/>
                <w:kern w:val="0"/>
                <w:sz w:val="24"/>
                <w:szCs w:val="24"/>
                <w:highlight w:val="none"/>
                <w14:textFill>
                  <w14:solidFill>
                    <w14:schemeClr w14:val="tx1"/>
                  </w14:solidFill>
                </w14:textFill>
              </w:rPr>
              <w:t>）的情况下，每</w:t>
            </w:r>
            <w:r>
              <w:rPr>
                <w:rFonts w:hint="eastAsia" w:ascii="宋体" w:hAnsi="宋体" w:cs="宋体"/>
                <w:color w:val="000000" w:themeColor="text1"/>
                <w:kern w:val="0"/>
                <w:sz w:val="24"/>
                <w:szCs w:val="24"/>
                <w:highlight w:val="none"/>
                <w:lang w:val="en-US" w:eastAsia="zh-CN"/>
                <w14:textFill>
                  <w14:solidFill>
                    <w14:schemeClr w14:val="tx1"/>
                  </w14:solidFill>
                </w14:textFill>
              </w:rPr>
              <w:t>延长3个月</w:t>
            </w:r>
            <w:r>
              <w:rPr>
                <w:rFonts w:hint="eastAsia" w:ascii="宋体" w:hAnsi="宋体" w:eastAsia="宋体" w:cs="宋体"/>
                <w:color w:val="000000" w:themeColor="text1"/>
                <w:kern w:val="0"/>
                <w:sz w:val="24"/>
                <w:szCs w:val="24"/>
                <w:highlight w:val="none"/>
                <w14:textFill>
                  <w14:solidFill>
                    <w14:schemeClr w14:val="tx1"/>
                  </w14:solidFill>
                </w14:textFill>
              </w:rPr>
              <w:t>得0.5分，满分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分。供应商须作出书面承诺，未提供或未满足要求的不得分。</w:t>
            </w:r>
          </w:p>
        </w:tc>
        <w:tc>
          <w:tcPr>
            <w:tcW w:w="1267" w:type="dxa"/>
            <w:noWrap w:val="0"/>
            <w:vAlign w:val="center"/>
          </w:tcPr>
          <w:p>
            <w:pPr>
              <w:pStyle w:val="23"/>
              <w:spacing w:line="360" w:lineRule="auto"/>
              <w:rPr>
                <w:rFonts w:hint="default"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2</w:t>
            </w:r>
          </w:p>
        </w:tc>
        <w:tc>
          <w:tcPr>
            <w:tcW w:w="6834" w:type="dxa"/>
            <w:noWrap w:val="0"/>
            <w:vAlign w:val="center"/>
          </w:tcPr>
          <w:p>
            <w:pPr>
              <w:widowControl/>
              <w:spacing w:line="360" w:lineRule="auto"/>
              <w:jc w:val="left"/>
              <w:textAlignment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根据供应商售后服务的速度（故障响应时间）等进行评价：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供应商承诺</w:t>
            </w:r>
            <w:r>
              <w:rPr>
                <w:rFonts w:hint="eastAsia" w:ascii="宋体" w:hAnsi="宋体" w:cs="宋体"/>
                <w:color w:val="000000" w:themeColor="text1"/>
                <w:sz w:val="24"/>
                <w:szCs w:val="24"/>
                <w:highlight w:val="none"/>
                <w:lang w:eastAsia="zh-CN"/>
                <w14:textFill>
                  <w14:solidFill>
                    <w14:schemeClr w14:val="tx1"/>
                  </w14:solidFill>
                </w14:textFill>
              </w:rPr>
              <w:t>质保期内凡非</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人为因素，造成仪器或系统故障及损坏，软硬件问题等，需要更换的零部件（消耗品除外）以及人力资源服务由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lang w:eastAsia="zh-CN"/>
                <w14:textFill>
                  <w14:solidFill>
                    <w14:schemeClr w14:val="tx1"/>
                  </w14:solidFill>
                </w14:textFill>
              </w:rPr>
              <w:t>免费提供。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lang w:eastAsia="zh-CN"/>
                <w14:textFill>
                  <w14:solidFill>
                    <w14:schemeClr w14:val="tx1"/>
                  </w14:solidFill>
                </w14:textFill>
              </w:rPr>
              <w:t>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接到报修后4小时以内给予响应，并在2个工作日内到达最终用户现场，排除故障，保证设备的正常使用。</w:t>
            </w:r>
            <w:r>
              <w:rPr>
                <w:rFonts w:hint="eastAsia" w:ascii="宋体" w:hAnsi="宋体" w:cs="宋体"/>
                <w:color w:val="000000" w:themeColor="text1"/>
                <w:sz w:val="24"/>
                <w:szCs w:val="24"/>
                <w:highlight w:val="none"/>
                <w14:textFill>
                  <w14:solidFill>
                    <w14:schemeClr w14:val="tx1"/>
                  </w14:solidFill>
                </w14:textFill>
              </w:rPr>
              <w:t>供应商须作出书面承诺，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满足要求得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未提供或未满足要求的不得分。</w:t>
            </w:r>
          </w:p>
        </w:tc>
        <w:tc>
          <w:tcPr>
            <w:tcW w:w="1267" w:type="dxa"/>
            <w:noWrap w:val="0"/>
            <w:vAlign w:val="center"/>
          </w:tcPr>
          <w:p>
            <w:pPr>
              <w:pStyle w:val="23"/>
              <w:spacing w:line="360" w:lineRule="auto"/>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3</w:t>
            </w:r>
          </w:p>
        </w:tc>
        <w:tc>
          <w:tcPr>
            <w:tcW w:w="6834" w:type="dxa"/>
            <w:noWrap w:val="0"/>
            <w:vAlign w:val="center"/>
          </w:tcPr>
          <w:p>
            <w:pPr>
              <w:widowControl/>
              <w:spacing w:line="360" w:lineRule="auto"/>
              <w:jc w:val="left"/>
              <w:textAlignment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针对本项目</w:t>
            </w:r>
            <w:r>
              <w:rPr>
                <w:rFonts w:hint="eastAsia" w:ascii="宋体" w:hAnsi="宋体" w:cs="宋体"/>
                <w:color w:val="000000" w:themeColor="text1"/>
                <w:kern w:val="0"/>
                <w:sz w:val="24"/>
                <w:szCs w:val="24"/>
                <w:highlight w:val="none"/>
                <w14:textFill>
                  <w14:solidFill>
                    <w14:schemeClr w14:val="tx1"/>
                  </w14:solidFill>
                </w14:textFill>
              </w:rPr>
              <w:t>提供的售后服务方案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进行评价：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供应商承诺</w:t>
            </w:r>
            <w:r>
              <w:rPr>
                <w:rFonts w:hint="eastAsia" w:ascii="宋体" w:hAnsi="宋体" w:cs="宋体"/>
                <w:color w:val="000000" w:themeColor="text1"/>
                <w:sz w:val="24"/>
                <w:szCs w:val="24"/>
                <w:highlight w:val="none"/>
                <w:lang w:eastAsia="zh-CN"/>
                <w14:textFill>
                  <w14:solidFill>
                    <w14:schemeClr w14:val="tx1"/>
                  </w14:solidFill>
                </w14:textFill>
              </w:rPr>
              <w:t>对仪器提供永久的技术支持和的优良的售后服务，并定期进行技术回访；保证所提供产品的先进性、可靠性和完整性；保证仪器零部件的长期供应并保证主要零部件的库存，以确保</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仪器维修得到及时的零部件的供应</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cs="宋体"/>
                <w:color w:val="000000" w:themeColor="text1"/>
                <w:sz w:val="24"/>
                <w:szCs w:val="24"/>
                <w:highlight w:val="none"/>
                <w:lang w:eastAsia="zh-CN"/>
                <w14:textFill>
                  <w14:solidFill>
                    <w14:schemeClr w14:val="tx1"/>
                  </w14:solidFill>
                </w14:textFill>
              </w:rPr>
              <w:t>提供仪器使用寿命内的备品备件支持，及软件技术升级支持。</w:t>
            </w:r>
            <w:r>
              <w:rPr>
                <w:rFonts w:hint="eastAsia" w:ascii="宋体" w:hAnsi="宋体" w:cs="宋体"/>
                <w:color w:val="000000" w:themeColor="text1"/>
                <w:sz w:val="24"/>
                <w:szCs w:val="24"/>
                <w:highlight w:val="none"/>
                <w14:textFill>
                  <w14:solidFill>
                    <w14:schemeClr w14:val="tx1"/>
                  </w14:solidFill>
                </w14:textFill>
              </w:rPr>
              <w:t>供应商须作出书面承诺，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满足要求得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kern w:val="0"/>
                <w:sz w:val="24"/>
                <w:szCs w:val="24"/>
                <w:highlight w:val="none"/>
                <w14:textFill>
                  <w14:solidFill>
                    <w14:schemeClr w14:val="tx1"/>
                  </w14:solidFill>
                </w14:textFill>
              </w:rPr>
              <w:t>未提供或未满足要求的不得分。</w:t>
            </w:r>
          </w:p>
        </w:tc>
        <w:tc>
          <w:tcPr>
            <w:tcW w:w="1267" w:type="dxa"/>
            <w:noWrap w:val="0"/>
            <w:vAlign w:val="center"/>
          </w:tcPr>
          <w:p>
            <w:pPr>
              <w:pStyle w:val="23"/>
              <w:spacing w:line="360" w:lineRule="auto"/>
              <w:rPr>
                <w:rFonts w:hint="default"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rPr>
                <w:rFonts w:hint="eastAsia" w:ascii="宋体" w:hAnsi="宋体" w:cs="宋体"/>
                <w:b w:val="0"/>
                <w:color w:val="000000" w:themeColor="text1"/>
                <w:kern w:val="2"/>
                <w:sz w:val="24"/>
                <w:szCs w:val="24"/>
                <w:highlight w:val="none"/>
                <w:lang w:val="en-US" w:eastAsia="zh-CN"/>
                <w14:textFill>
                  <w14:solidFill>
                    <w14:schemeClr w14:val="tx1"/>
                  </w14:solidFill>
                </w14:textFill>
              </w:rPr>
            </w:pPr>
          </w:p>
        </w:tc>
        <w:tc>
          <w:tcPr>
            <w:tcW w:w="6834" w:type="dxa"/>
            <w:noWrap w:val="0"/>
            <w:vAlign w:val="center"/>
          </w:tcPr>
          <w:p>
            <w:pPr>
              <w:widowControl/>
              <w:spacing w:line="360" w:lineRule="auto"/>
              <w:jc w:val="left"/>
              <w:textAlignment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根据供应商</w:t>
            </w:r>
            <w:r>
              <w:rPr>
                <w:rFonts w:hint="eastAsia" w:ascii="宋体" w:hAnsi="宋体" w:cs="宋体"/>
                <w:color w:val="000000" w:themeColor="text1"/>
                <w:kern w:val="0"/>
                <w:sz w:val="24"/>
                <w:szCs w:val="24"/>
                <w:highlight w:val="none"/>
                <w:lang w:val="en-US" w:eastAsia="zh-CN"/>
                <w14:textFill>
                  <w14:solidFill>
                    <w14:schemeClr w14:val="tx1"/>
                  </w14:solidFill>
                </w14:textFill>
              </w:rPr>
              <w:t>针对本项目提供的</w:t>
            </w:r>
            <w:r>
              <w:rPr>
                <w:rFonts w:hint="eastAsia" w:ascii="宋体" w:hAnsi="宋体" w:cs="宋体"/>
                <w:color w:val="000000" w:themeColor="text1"/>
                <w:sz w:val="24"/>
                <w:szCs w:val="24"/>
                <w:highlight w:val="none"/>
                <w:lang w:val="en-US" w:eastAsia="zh-CN"/>
                <w14:textFill>
                  <w14:solidFill>
                    <w14:schemeClr w14:val="tx1"/>
                  </w14:solidFill>
                </w14:textFill>
              </w:rPr>
              <w:t>培训方案进行评价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：供应商承诺</w:t>
            </w:r>
            <w:r>
              <w:rPr>
                <w:rFonts w:hint="eastAsia" w:ascii="宋体" w:hAnsi="宋体" w:cs="宋体"/>
                <w:color w:val="000000" w:themeColor="text1"/>
                <w:sz w:val="24"/>
                <w:szCs w:val="24"/>
                <w:highlight w:val="none"/>
                <w:lang w:eastAsia="zh-CN"/>
                <w14:textFill>
                  <w14:solidFill>
                    <w14:schemeClr w14:val="tx1"/>
                  </w14:solidFill>
                </w14:textFill>
              </w:rPr>
              <w:t>在安装调试期间，</w:t>
            </w:r>
            <w:r>
              <w:rPr>
                <w:rFonts w:hint="eastAsia" w:ascii="宋体" w:hAnsi="宋体" w:eastAsia="宋体" w:cs="宋体"/>
                <w:color w:val="000000" w:themeColor="text1"/>
                <w:sz w:val="24"/>
                <w:szCs w:val="24"/>
                <w:highlight w:val="none"/>
                <w:lang w:val="en-US" w:eastAsia="zh-CN"/>
                <w14:textFill>
                  <w14:solidFill>
                    <w14:schemeClr w14:val="tx1"/>
                  </w14:solidFill>
                </w14:textFill>
              </w:rPr>
              <w:t>能够</w:t>
            </w:r>
            <w:r>
              <w:rPr>
                <w:rFonts w:hint="eastAsia" w:ascii="宋体" w:hAnsi="宋体" w:cs="宋体"/>
                <w:color w:val="000000" w:themeColor="text1"/>
                <w:sz w:val="24"/>
                <w:szCs w:val="24"/>
                <w:highlight w:val="none"/>
                <w:lang w:eastAsia="zh-CN"/>
                <w14:textFill>
                  <w14:solidFill>
                    <w14:schemeClr w14:val="tx1"/>
                  </w14:solidFill>
                </w14:textFill>
              </w:rPr>
              <w:t>安排制造商技术服务工程师在</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现场进行技术指导和培训，包括仪器构造、工作原理、设备操作使用、日常维护保养方面的内容，以</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操作人员能够独立使用设备分析、会进行维护保养为止。在平时正常的使用中，对仪器的使用保养有疑问，</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cs="宋体"/>
                <w:color w:val="000000" w:themeColor="text1"/>
                <w:sz w:val="24"/>
                <w:szCs w:val="24"/>
                <w:highlight w:val="none"/>
                <w:lang w:eastAsia="zh-CN"/>
                <w14:textFill>
                  <w14:solidFill>
                    <w14:schemeClr w14:val="tx1"/>
                  </w14:solidFill>
                </w14:textFill>
              </w:rPr>
              <w:t>需及时安排人员以现场或者电话方式进行技术指导和培训，以完全解决</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的使用问题为止。</w:t>
            </w:r>
            <w:r>
              <w:rPr>
                <w:rFonts w:hint="eastAsia" w:ascii="宋体" w:hAnsi="宋体" w:cs="宋体"/>
                <w:color w:val="000000" w:themeColor="text1"/>
                <w:sz w:val="24"/>
                <w:szCs w:val="24"/>
                <w:highlight w:val="none"/>
                <w14:textFill>
                  <w14:solidFill>
                    <w14:schemeClr w14:val="tx1"/>
                  </w14:solidFill>
                </w14:textFill>
              </w:rPr>
              <w:t>供应商须作出书面承诺，</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满足要求得2分，</w:t>
            </w:r>
            <w:r>
              <w:rPr>
                <w:rFonts w:hint="eastAsia" w:ascii="宋体" w:hAnsi="宋体" w:eastAsia="宋体" w:cs="宋体"/>
                <w:color w:val="000000" w:themeColor="text1"/>
                <w:kern w:val="0"/>
                <w:sz w:val="24"/>
                <w:szCs w:val="24"/>
                <w:highlight w:val="none"/>
                <w14:textFill>
                  <w14:solidFill>
                    <w14:schemeClr w14:val="tx1"/>
                  </w14:solidFill>
                </w14:textFill>
              </w:rPr>
              <w:t>未提供或未满足要求的不得分。</w:t>
            </w:r>
          </w:p>
        </w:tc>
        <w:tc>
          <w:tcPr>
            <w:tcW w:w="1267" w:type="dxa"/>
            <w:noWrap w:val="0"/>
            <w:vAlign w:val="center"/>
          </w:tcPr>
          <w:p>
            <w:pPr>
              <w:pStyle w:val="23"/>
              <w:spacing w:line="360" w:lineRule="auto"/>
              <w:rPr>
                <w:rFonts w:hint="default" w:ascii="宋体" w:hAnsi="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4</w:t>
            </w:r>
          </w:p>
        </w:tc>
        <w:tc>
          <w:tcPr>
            <w:tcW w:w="6834" w:type="dxa"/>
            <w:noWrap w:val="0"/>
            <w:vAlign w:val="center"/>
          </w:tcPr>
          <w:p>
            <w:pPr>
              <w:widowControl/>
              <w:spacing w:line="360" w:lineRule="auto"/>
              <w:jc w:val="left"/>
              <w:textAlignment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根据供应商针对本项目提供的交付期承诺进行评价：在满足磋商文件要求（</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0个日历日）的情况下，每提前一天得0.5分，满分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分。供应商须作出书面承诺，未提供或未满足要求的不得分。</w:t>
            </w:r>
          </w:p>
        </w:tc>
        <w:tc>
          <w:tcPr>
            <w:tcW w:w="1267" w:type="dxa"/>
            <w:noWrap w:val="0"/>
            <w:vAlign w:val="center"/>
          </w:tcPr>
          <w:p>
            <w:pPr>
              <w:pStyle w:val="23"/>
              <w:spacing w:line="360" w:lineRule="auto"/>
              <w:rPr>
                <w:rFonts w:hint="default"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pPr>
              <w:pStyle w:val="23"/>
              <w:spacing w:line="360" w:lineRule="auto"/>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5</w:t>
            </w:r>
          </w:p>
        </w:tc>
        <w:tc>
          <w:tcPr>
            <w:tcW w:w="6834" w:type="dxa"/>
            <w:noWrap w:val="0"/>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根据2020年1月1日（以合同签订时间为准）以来的类似业绩进行评价：每个业绩得1分，满分3分。</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（1）类似业绩是指：供应商销售</w:t>
            </w:r>
            <w:r>
              <w:rPr>
                <w:rFonts w:hint="eastAsia" w:ascii="宋体" w:hAnsi="宋体" w:cs="宋体"/>
                <w:color w:val="000000" w:themeColor="text1"/>
                <w:kern w:val="0"/>
                <w:sz w:val="24"/>
                <w:highlight w:val="none"/>
                <w:lang w:eastAsia="zh-CN"/>
                <w14:textFill>
                  <w14:solidFill>
                    <w14:schemeClr w14:val="tx1"/>
                  </w14:solidFill>
                </w14:textFill>
              </w:rPr>
              <w:t>电子天平</w:t>
            </w:r>
            <w:r>
              <w:rPr>
                <w:rFonts w:hint="eastAsia" w:ascii="宋体" w:hAnsi="宋体" w:cs="宋体"/>
                <w:color w:val="000000" w:themeColor="text1"/>
                <w:kern w:val="0"/>
                <w:sz w:val="24"/>
                <w:highlight w:val="none"/>
                <w14:textFill>
                  <w14:solidFill>
                    <w14:schemeClr w14:val="tx1"/>
                  </w14:solidFill>
                </w14:textFill>
              </w:rPr>
              <w:t>的业绩。</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（2）需提供业绩的以下四项证明材料，否则不计分：</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①中标（成交）公告（提供相关网站中标（成交）公告的下载网页并注明网址）；</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②中标（成交）通知书；</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③采购合同文本；</w:t>
            </w:r>
          </w:p>
          <w:p>
            <w:pPr>
              <w:widowControl/>
              <w:spacing w:line="360" w:lineRule="auto"/>
              <w:jc w:val="left"/>
              <w:textAlignment w:val="center"/>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④能够证明该业绩项目已经采购人验收合格的相关证明材料。</w:t>
            </w:r>
          </w:p>
        </w:tc>
        <w:tc>
          <w:tcPr>
            <w:tcW w:w="1267" w:type="dxa"/>
            <w:noWrap w:val="0"/>
            <w:vAlign w:val="center"/>
          </w:tcPr>
          <w:p>
            <w:pPr>
              <w:pStyle w:val="23"/>
              <w:spacing w:line="360" w:lineRule="auto"/>
              <w:rPr>
                <w:rFonts w:hint="default" w:ascii="宋体" w:hAnsi="宋体" w:eastAsia="宋体" w:cs="宋体"/>
                <w:b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val="0"/>
                <w:color w:val="000000" w:themeColor="text1"/>
                <w:kern w:val="2"/>
                <w:sz w:val="24"/>
                <w:szCs w:val="24"/>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08" w:type="dxa"/>
            <w:gridSpan w:val="3"/>
            <w:noWrap w:val="0"/>
            <w:vAlign w:val="center"/>
          </w:tcPr>
          <w:p>
            <w:pPr>
              <w:spacing w:line="360" w:lineRule="auto"/>
              <w:ind w:firstLine="480" w:firstLineChars="200"/>
              <w:jc w:val="left"/>
              <w:outlineLvl w:val="0"/>
              <w:rPr>
                <w:rFonts w:hint="eastAsia" w:ascii="宋体" w:hAnsi="宋体" w:eastAsia="宋体" w:cs="宋体"/>
                <w:color w:val="000000" w:themeColor="text1"/>
                <w:sz w:val="24"/>
                <w:szCs w:val="24"/>
                <w:highlight w:val="none"/>
                <w14:textFill>
                  <w14:solidFill>
                    <w14:schemeClr w14:val="tx1"/>
                  </w14:solidFill>
                </w14:textFill>
              </w:rPr>
            </w:pPr>
            <w:bookmarkStart w:id="27" w:name="_Toc18418"/>
            <w:bookmarkStart w:id="28" w:name="_Toc24563"/>
            <w:r>
              <w:rPr>
                <w:rFonts w:hint="eastAsia" w:ascii="宋体" w:hAnsi="宋体" w:eastAsia="宋体" w:cs="宋体"/>
                <w:color w:val="000000" w:themeColor="text1"/>
                <w:sz w:val="24"/>
                <w:szCs w:val="24"/>
                <w:highlight w:val="none"/>
                <w14:textFill>
                  <w14:solidFill>
                    <w14:schemeClr w14:val="tx1"/>
                  </w14:solidFill>
                </w14:textFill>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bookmarkEnd w:id="27"/>
            <w:bookmarkEnd w:id="28"/>
          </w:p>
        </w:tc>
      </w:tr>
    </w:tbl>
    <w:p>
      <w:pPr>
        <w:spacing w:line="360" w:lineRule="auto"/>
        <w:jc w:val="left"/>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29" w:name="_Toc19770"/>
      <w:r>
        <w:rPr>
          <w:rFonts w:hint="eastAsia" w:ascii="宋体" w:hAnsi="宋体" w:eastAsia="宋体" w:cs="宋体"/>
          <w:b/>
          <w:color w:val="000000" w:themeColor="text1"/>
          <w:sz w:val="24"/>
          <w:szCs w:val="24"/>
          <w:highlight w:val="none"/>
          <w14:textFill>
            <w14:solidFill>
              <w14:schemeClr w14:val="tx1"/>
            </w14:solidFill>
          </w14:textFill>
        </w:rPr>
        <w:t>（三）报价评分（F3）标准（满分</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14:textFill>
            <w14:solidFill>
              <w14:schemeClr w14:val="tx1"/>
            </w14:solidFill>
          </w14:textFill>
        </w:rPr>
        <w:t>分）：</w:t>
      </w:r>
      <w:bookmarkEnd w:id="29"/>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×磋商基准价/报价人的评审价。</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eastAsia="宋体" w:cs="宋体"/>
          <w:color w:val="000000" w:themeColor="text1"/>
          <w:spacing w:val="-4"/>
          <w:sz w:val="24"/>
          <w:szCs w:val="24"/>
          <w:highlight w:val="none"/>
          <w14:textFill>
            <w14:solidFill>
              <w14:schemeClr w14:val="tx1"/>
            </w14:solidFill>
          </w14:textFill>
        </w:rPr>
        <w:t>漏（缺）项修正、</w:t>
      </w:r>
      <w:r>
        <w:rPr>
          <w:rFonts w:hint="eastAsia" w:ascii="宋体" w:hAnsi="宋体" w:eastAsia="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pPr>
        <w:pStyle w:val="2"/>
        <w:keepNext w:val="0"/>
        <w:keepLines w:val="0"/>
        <w:tabs>
          <w:tab w:val="center" w:pos="4365"/>
        </w:tabs>
        <w:spacing w:before="0" w:after="0" w:line="360" w:lineRule="auto"/>
        <w:jc w:val="center"/>
        <w:outlineLvl w:val="9"/>
        <w:rPr>
          <w:rFonts w:hint="eastAsia" w:ascii="宋体" w:hAnsi="宋体" w:eastAsia="宋体" w:cs="宋体"/>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2"/>
        <w:keepNext w:val="0"/>
        <w:keepLines w:val="0"/>
        <w:tabs>
          <w:tab w:val="center" w:pos="4365"/>
        </w:tabs>
        <w:spacing w:before="0" w:after="0" w:line="360" w:lineRule="auto"/>
        <w:jc w:val="center"/>
        <w:outlineLvl w:val="1"/>
        <w:rPr>
          <w:rFonts w:hint="eastAsia" w:ascii="宋体" w:hAnsi="宋体" w:eastAsia="宋体" w:cs="宋体"/>
          <w:color w:val="000000" w:themeColor="text1"/>
          <w:sz w:val="24"/>
          <w:szCs w:val="24"/>
          <w:highlight w:val="none"/>
          <w14:textFill>
            <w14:solidFill>
              <w14:schemeClr w14:val="tx1"/>
            </w14:solidFill>
          </w14:textFill>
        </w:rPr>
      </w:pPr>
      <w:bookmarkStart w:id="30" w:name="_Toc32595"/>
      <w:bookmarkStart w:id="31" w:name="_Toc28351"/>
      <w:r>
        <w:rPr>
          <w:rFonts w:hint="eastAsia" w:ascii="宋体" w:hAnsi="宋体" w:eastAsia="宋体" w:cs="宋体"/>
          <w:color w:val="000000" w:themeColor="text1"/>
          <w:sz w:val="32"/>
          <w:szCs w:val="32"/>
          <w:highlight w:val="none"/>
          <w14:textFill>
            <w14:solidFill>
              <w14:schemeClr w14:val="tx1"/>
            </w14:solidFill>
          </w14:textFill>
        </w:rPr>
        <w:t>报价人须知前附表4：中小企业及监狱企业优惠办法</w:t>
      </w:r>
      <w:bookmarkEnd w:id="30"/>
      <w:bookmarkEnd w:id="31"/>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6256"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484"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本项目是否属于专门面向中小企业和监狱企业的政府采购活动：</w:t>
            </w:r>
          </w:p>
        </w:tc>
        <w:tc>
          <w:tcPr>
            <w:tcW w:w="625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484" w:type="dxa"/>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eastAsia="宋体" w:cs="宋体"/>
                <w:b/>
                <w:color w:val="000000" w:themeColor="text1"/>
                <w:sz w:val="24"/>
                <w:szCs w:val="24"/>
                <w:highlight w:val="none"/>
                <w14:textFill>
                  <w14:solidFill>
                    <w14:schemeClr w14:val="tx1"/>
                  </w14:solidFill>
                </w14:textFill>
              </w:rPr>
              <w:t>（含中型、小型、微型企业，下同）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noWrap w:val="0"/>
            <w:vAlign w:val="top"/>
          </w:tcPr>
          <w:p>
            <w:pPr>
              <w:spacing w:line="360" w:lineRule="auto"/>
              <w:ind w:left="-65" w:leftChars="-31" w:firstLine="12" w:firstLineChars="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报价人为中小企业（含中型、小型、微型企业，下同）：</w:t>
            </w:r>
          </w:p>
          <w:p>
            <w:pPr>
              <w:spacing w:line="360" w:lineRule="auto"/>
              <w:ind w:left="411"/>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①磋商保证金：按采购文件约定数额的50%交纳</w:t>
            </w:r>
          </w:p>
          <w:p>
            <w:pPr>
              <w:spacing w:line="360" w:lineRule="auto"/>
              <w:ind w:left="-65" w:leftChars="-31" w:firstLine="475" w:firstLineChars="205"/>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②履约保证金：按约定比例的50%支付（如果有的话）</w:t>
            </w:r>
          </w:p>
          <w:p>
            <w:pPr>
              <w:spacing w:line="360" w:lineRule="auto"/>
              <w:ind w:left="-65" w:leftChars="-31" w:firstLine="475" w:firstLineChars="205"/>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③</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pacing w:val="-4"/>
                <w:sz w:val="24"/>
                <w:szCs w:val="24"/>
                <w:highlight w:val="none"/>
                <w14:textFill>
                  <w14:solidFill>
                    <w14:schemeClr w14:val="tx1"/>
                  </w14:solidFill>
                </w14:textFill>
              </w:rPr>
              <w:t>：按采购文件规定的收费标准下调10%</w:t>
            </w:r>
          </w:p>
          <w:p>
            <w:pPr>
              <w:spacing w:line="360" w:lineRule="auto"/>
              <w:ind w:left="-65" w:leftChars="-31" w:firstLine="12" w:firstLineChars="5"/>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w:t>
            </w:r>
            <w:r>
              <w:rPr>
                <w:rFonts w:hint="eastAsia" w:ascii="宋体" w:hAnsi="宋体" w:eastAsia="宋体" w:cs="宋体"/>
                <w:b/>
                <w:color w:val="000000" w:themeColor="text1"/>
                <w:spacing w:val="-4"/>
                <w:sz w:val="24"/>
                <w:szCs w:val="24"/>
                <w:highlight w:val="none"/>
                <w14:textFill>
                  <w14:solidFill>
                    <w14:schemeClr w14:val="tx1"/>
                  </w14:solidFill>
                </w14:textFill>
              </w:rPr>
              <w:t>产品为</w:t>
            </w:r>
            <w:r>
              <w:rPr>
                <w:rFonts w:hint="eastAsia" w:ascii="宋体" w:hAnsi="宋体" w:eastAsia="宋体" w:cs="宋体"/>
                <w:b/>
                <w:color w:val="000000" w:themeColor="text1"/>
                <w:sz w:val="24"/>
                <w:szCs w:val="24"/>
                <w:highlight w:val="none"/>
                <w14:textFill>
                  <w14:solidFill>
                    <w14:schemeClr w14:val="tx1"/>
                  </w14:solidFill>
                </w14:textFill>
              </w:rPr>
              <w:t>小型企业或微型企业生产</w:t>
            </w:r>
            <w:r>
              <w:rPr>
                <w:rFonts w:hint="eastAsia" w:ascii="宋体" w:hAnsi="宋体" w:eastAsia="宋体" w:cs="宋体"/>
                <w:b/>
                <w:color w:val="000000" w:themeColor="text1"/>
                <w:spacing w:val="-4"/>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pPr>
              <w:pStyle w:val="6"/>
              <w:spacing w:line="360" w:lineRule="auto"/>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对其提供的小型或微型企业产品的报价给予</w:t>
            </w:r>
            <w:r>
              <w:rPr>
                <w:rFonts w:hint="eastAsia" w:hAnsi="宋体" w:cs="宋体"/>
                <w:color w:val="000000" w:themeColor="text1"/>
                <w:sz w:val="24"/>
                <w:szCs w:val="24"/>
                <w:highlight w:val="none"/>
                <w:lang w:val="en-US" w:eastAsia="zh-CN"/>
                <w14:textFill>
                  <w14:solidFill>
                    <w14:schemeClr w14:val="tx1"/>
                  </w14:solidFill>
                </w14:textFill>
              </w:rPr>
              <w:t>15</w:t>
            </w:r>
            <w:r>
              <w:rPr>
                <w:rFonts w:hint="eastAsia" w:hAnsi="宋体" w:eastAsia="宋体" w:cs="宋体"/>
                <w:color w:val="000000" w:themeColor="text1"/>
                <w:sz w:val="24"/>
                <w:szCs w:val="24"/>
                <w:highlight w:val="none"/>
                <w:lang w:val="en-US" w:eastAsia="zh-CN"/>
                <w14:textFill>
                  <w14:solidFill>
                    <w14:schemeClr w14:val="tx1"/>
                  </w14:solidFill>
                </w14:textFill>
              </w:rPr>
              <w:t>%的扣除，扣除后的价格作为该报价人的评审价参与价格评分。</w:t>
            </w:r>
          </w:p>
          <w:p>
            <w:pPr>
              <w:pStyle w:val="6"/>
              <w:spacing w:line="360" w:lineRule="auto"/>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pPr>
              <w:spacing w:line="360" w:lineRule="auto"/>
              <w:ind w:firstLine="480" w:firstLineChars="200"/>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联合体各方均为小型、微型企业的，联合体视同为小型、微型企业。按照《财政部 司法部关于政府采购支持监狱企业发展有关问题的通知》（财库〔2014〕68号）有关规定，监狱企业视同小型、微型企业。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cs="宋体"/>
                <w:color w:val="000000" w:themeColor="text1"/>
                <w:sz w:val="24"/>
                <w:szCs w:val="24"/>
                <w:highlight w:val="none"/>
                <w:u w:val="single"/>
                <w:lang w:val="en-US" w:eastAsia="zh-CN"/>
                <w14:textFill>
                  <w14:solidFill>
                    <w14:schemeClr w14:val="tx1"/>
                  </w14:solidFill>
                </w14:textFill>
              </w:rPr>
              <w:t>工业</w:t>
            </w:r>
            <w:r>
              <w:rPr>
                <w:rFonts w:hint="eastAsia" w:ascii="宋体" w:hAnsi="宋体" w:eastAsia="宋体" w:cs="宋体"/>
                <w:color w:val="000000" w:themeColor="text1"/>
                <w:sz w:val="24"/>
                <w:szCs w:val="24"/>
                <w:highlight w:val="none"/>
                <w:u w:val="single"/>
                <w14:textFill>
                  <w14:solidFill>
                    <w14:schemeClr w14:val="tx1"/>
                  </w14:solidFill>
                </w14:textFill>
              </w:rPr>
              <w:t>行业。</w:t>
            </w:r>
          </w:p>
        </w:tc>
        <w:tc>
          <w:tcPr>
            <w:tcW w:w="6256" w:type="dxa"/>
            <w:tcBorders>
              <w:bottom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000000" w:themeColor="text1"/>
                <w:sz w:val="24"/>
                <w:szCs w:val="24"/>
                <w:highlight w:val="non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14:textFill>
                  <w14:solidFill>
                    <w14:schemeClr w14:val="tx1"/>
                  </w14:solidFill>
                </w14:textFill>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p>
        </w:tc>
        <w:tc>
          <w:tcPr>
            <w:tcW w:w="1484" w:type="dxa"/>
            <w:noWrap w:val="0"/>
            <w:vAlign w:val="center"/>
          </w:tcPr>
          <w:p>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报价人不符合“工信部联企业[2011]300号”规定的中小企业标准的；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2.响应货物全部或部分为使用大型企业注册商标的货物的；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pPr>
              <w:spacing w:line="360" w:lineRule="auto"/>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二、提供虚假证明材料后果：</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kern w:val="0"/>
                <w:sz w:val="24"/>
                <w:szCs w:val="24"/>
                <w:highlight w:val="none"/>
                <w14:textFill>
                  <w14:solidFill>
                    <w14:schemeClr w14:val="tx1"/>
                  </w14:solidFill>
                </w14:textFill>
              </w:rPr>
              <w:t>不予退还，该报价人还应承担由此引起的其他经济、法律责任。出现此种情形时，采购人、采购代理机构将有关情况上报采购监管部门，由监管部门按有关规定对其进行相应处罚。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采购人、采购代理机构</w:t>
            </w:r>
            <w:r>
              <w:rPr>
                <w:rFonts w:hint="eastAsia" w:ascii="宋体" w:hAnsi="宋体" w:eastAsia="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有权上报财政部门，建议财政部门将该报价人列入不良行为记录名单，在一至三年内禁止该报价人参加采购活动并予以通报。</w:t>
            </w:r>
            <w:r>
              <w:rPr>
                <w:rFonts w:hint="eastAsia" w:ascii="宋体" w:hAnsi="宋体" w:eastAsia="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
          <w:bCs/>
          <w:color w:val="000000" w:themeColor="text1"/>
          <w:sz w:val="24"/>
          <w:szCs w:val="24"/>
          <w:highlight w:val="none"/>
          <w:u w:val="single"/>
          <w14:textFill>
            <w14:solidFill>
              <w14:schemeClr w14:val="tx1"/>
            </w14:solidFill>
          </w14:textFill>
        </w:rPr>
      </w:pPr>
    </w:p>
    <w:p>
      <w:pPr>
        <w:spacing w:line="360" w:lineRule="auto"/>
        <w:jc w:val="center"/>
        <w:outlineLvl w:val="1"/>
        <w:rPr>
          <w:rFonts w:hint="eastAsia" w:ascii="宋体" w:hAnsi="宋体" w:eastAsia="宋体" w:cs="宋体"/>
          <w:b/>
          <w:bCs/>
          <w:color w:val="000000" w:themeColor="text1"/>
          <w:sz w:val="24"/>
          <w:szCs w:val="24"/>
          <w:highlight w:val="none"/>
          <w:u w:val="single"/>
          <w14:textFill>
            <w14:solidFill>
              <w14:schemeClr w14:val="tx1"/>
            </w14:solidFill>
          </w14:textFill>
        </w:rPr>
      </w:pPr>
      <w:bookmarkStart w:id="32" w:name="_Toc15830"/>
      <w:bookmarkStart w:id="33" w:name="_Toc7825"/>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报价人须知前附表5：节能、环境标志产品采购政策</w:t>
      </w:r>
      <w:bookmarkEnd w:id="32"/>
      <w:bookmarkEnd w:id="3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、节能、环境标志产品优先采购政策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（一）节能产品按有效的《政府采购节能产品认证证书》认定；环境标志产品按有效的《环境标志产品认证证书》认定；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（二）采购的货物如含有节能（强制采购节能产品的除外）、环境标志的，</w:t>
            </w:r>
            <w:r>
              <w:rPr>
                <w:rFonts w:hint="eastAsia" w:ascii="宋体" w:hAnsi="宋体" w:cs="宋体"/>
                <w:color w:val="000000" w:themeColor="text1"/>
                <w:sz w:val="24"/>
                <w:szCs w:val="24"/>
                <w:highlight w:val="none"/>
                <w:lang w:val="en-US" w:eastAsia="zh-CN"/>
                <w14:textFill>
                  <w14:solidFill>
                    <w14:schemeClr w14:val="tx1"/>
                  </w14:solidFill>
                </w14:textFill>
              </w:rPr>
              <w:t>且</w:t>
            </w:r>
            <w:r>
              <w:rPr>
                <w:rFonts w:hint="eastAsia" w:ascii="宋体" w:hAnsi="宋体" w:cs="宋体"/>
                <w:color w:val="000000" w:themeColor="text1"/>
                <w:sz w:val="24"/>
                <w:szCs w:val="24"/>
                <w:highlight w:val="none"/>
                <w14:textFill>
                  <w14:solidFill>
                    <w14:schemeClr w14:val="tx1"/>
                  </w14:solidFill>
                </w14:textFill>
              </w:rPr>
              <w:t>属于《环境标志产品政府采购品目清单》范围内产品</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《节能产品政府采购品目清单》范围内产品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应根据评审办法和合同包内节能、环境标志产品报价总金额占该合同包报价总金额的比例，按以下的优惠办法，在采购文件中载明具体的优惠条款：</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a.同一合同包内节能或环境标志产品报价总金额占该合同报价总金额的比例为20％（含20％）以下的，分别给予价格评审项标准总分的4％的加分及技术评审项标准总分的4％的加分；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b.同一合同包内节能或环境标志产品报价总金额占该合同报价总金额的比例为20％（不含20％）至50％（含50％）的，分别给予价格评审项标准总分的6％的加分及技术评审项标准总分的6％的加分；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c.同一合同包内节能或环境标志产品报价总金额占该合同报价总金额的比例为50％以上的，分别给予价格评审项标准总分的8％的加分及技术评审项标准总分的8％的加分；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报价人应分别明确节能或环境标志产品的名称、数量、分项报价、总报价，及其总报价占该合同报价总金额的比例，并提认证证书复印件，否则不予加分。此外，若报价人对节能或环境标志产品的报价明显高于其他同类产品的报价，报价人应按磋商小组要求作出说明并提供相关证明材料，不能合理说明或不能提供相关证明材料的，不予加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e.若节能、环境标志产品仅是构成报价产品的部件、组件或零件，则该报价产品不享受鼓励优惠政策。同一品目中各认证证书不重复计算加分优惠。属于政府强制采购的节能产品不享受加分优惠。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ind w:firstLine="540" w:firstLineChars="22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、提醒事项：</w:t>
            </w:r>
          </w:p>
          <w:p>
            <w:pPr>
              <w:spacing w:line="360" w:lineRule="auto"/>
              <w:ind w:firstLine="540" w:firstLineChars="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成交供应商必须凭成交通知书的原件与采购人签订《采购合同》。</w:t>
            </w:r>
          </w:p>
        </w:tc>
      </w:tr>
    </w:tbl>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6"/>
        <w:spacing w:line="360" w:lineRule="auto"/>
        <w:jc w:val="center"/>
        <w:outlineLvl w:val="9"/>
        <w:rPr>
          <w:rFonts w:hint="eastAsia" w:hAnsi="宋体" w:eastAsia="宋体" w:cs="宋体"/>
          <w:b/>
          <w:color w:val="000000" w:themeColor="text1"/>
          <w:sz w:val="32"/>
          <w:szCs w:val="32"/>
          <w:highlight w:val="none"/>
          <w14:textFill>
            <w14:solidFill>
              <w14:schemeClr w14:val="tx1"/>
            </w14:solidFill>
          </w14:textFill>
        </w:rPr>
      </w:pPr>
      <w:bookmarkStart w:id="34" w:name="_Toc9866"/>
      <w:r>
        <w:rPr>
          <w:rFonts w:hint="eastAsia" w:hAnsi="宋体" w:eastAsia="宋体" w:cs="宋体"/>
          <w:b/>
          <w:color w:val="000000" w:themeColor="text1"/>
          <w:sz w:val="32"/>
          <w:szCs w:val="32"/>
          <w:highlight w:val="none"/>
          <w14:textFill>
            <w14:solidFill>
              <w14:schemeClr w14:val="tx1"/>
            </w14:solidFill>
          </w14:textFill>
        </w:rPr>
        <w:t>第二章  报价人须知</w:t>
      </w:r>
      <w:bookmarkEnd w:id="34"/>
    </w:p>
    <w:p>
      <w:pPr>
        <w:pStyle w:val="6"/>
        <w:spacing w:line="360" w:lineRule="auto"/>
        <w:jc w:val="center"/>
        <w:outlineLvl w:val="1"/>
        <w:rPr>
          <w:rFonts w:hint="eastAsia" w:hAnsi="宋体" w:eastAsia="宋体" w:cs="宋体"/>
          <w:b/>
          <w:color w:val="000000" w:themeColor="text1"/>
          <w:sz w:val="24"/>
          <w:szCs w:val="24"/>
          <w:highlight w:val="none"/>
          <w14:textFill>
            <w14:solidFill>
              <w14:schemeClr w14:val="tx1"/>
            </w14:solidFill>
          </w14:textFill>
        </w:rPr>
      </w:pPr>
      <w:bookmarkStart w:id="35" w:name="_Toc20195"/>
      <w:bookmarkStart w:id="36" w:name="_Toc22450"/>
      <w:r>
        <w:rPr>
          <w:rFonts w:hint="eastAsia" w:hAnsi="宋体" w:eastAsia="宋体" w:cs="宋体"/>
          <w:b/>
          <w:color w:val="000000" w:themeColor="text1"/>
          <w:sz w:val="32"/>
          <w:szCs w:val="32"/>
          <w:highlight w:val="none"/>
          <w14:textFill>
            <w14:solidFill>
              <w14:schemeClr w14:val="tx1"/>
            </w14:solidFill>
          </w14:textFill>
        </w:rPr>
        <w:t>一、说明</w:t>
      </w:r>
      <w:bookmarkEnd w:id="35"/>
      <w:bookmarkEnd w:id="36"/>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1.适用范围</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1.1本采购文件仅适用于邀请中所叙述项目的货物采购。</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2.定义</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“采购人”系指本次采购项目的业主方。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“采购单位”系指组织本次采购活动的采购人或采购代理机构。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“采购代理机构”系指本次采购项目活动组织方。</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2.4 “报价人”系指购买了本采购文件，且已经提交或准备提交报价文件的制造商或供货商。</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2.5 “货物”系指指各种形态和和种类的物品，包括原材料、燃料、设备、产品等。</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2.7“服务”系指除货物和工程以外的其他采购对象。</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20"/>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20"/>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20"/>
        <w:spacing w:line="360" w:lineRule="auto"/>
        <w:ind w:firstLine="56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right="-334" w:rightChars="-15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报价人应遵守有关法律、法规和规章的规定，同时其响应货物及服务也应符合有关法律、法规和规章的规定。</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4.磋商费用</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4.1 报价人应承担其准备与参加磋商所涉及的一切费用。</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5.知识产权</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p>
    <w:p>
      <w:pPr>
        <w:pStyle w:val="21"/>
        <w:spacing w:line="360" w:lineRule="auto"/>
        <w:jc w:val="center"/>
        <w:outlineLvl w:val="1"/>
        <w:rPr>
          <w:rFonts w:hint="eastAsia" w:hAnsi="宋体" w:eastAsia="宋体" w:cs="宋体"/>
          <w:b/>
          <w:color w:val="000000" w:themeColor="text1"/>
          <w:sz w:val="24"/>
          <w:szCs w:val="24"/>
          <w:highlight w:val="none"/>
          <w14:textFill>
            <w14:solidFill>
              <w14:schemeClr w14:val="tx1"/>
            </w14:solidFill>
          </w14:textFill>
        </w:rPr>
      </w:pPr>
      <w:bookmarkStart w:id="37" w:name="_Toc14652"/>
      <w:bookmarkStart w:id="38" w:name="_Toc31457"/>
      <w:r>
        <w:rPr>
          <w:rFonts w:hint="eastAsia" w:hAnsi="宋体" w:eastAsia="宋体" w:cs="宋体"/>
          <w:b/>
          <w:color w:val="000000" w:themeColor="text1"/>
          <w:sz w:val="32"/>
          <w:szCs w:val="32"/>
          <w:highlight w:val="none"/>
          <w14:textFill>
            <w14:solidFill>
              <w14:schemeClr w14:val="tx1"/>
            </w14:solidFill>
          </w14:textFill>
        </w:rPr>
        <w:t>二、采购文件</w:t>
      </w:r>
      <w:bookmarkEnd w:id="37"/>
      <w:bookmarkEnd w:id="38"/>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6.采购文件的组成</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（1）磋商邀请</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（2）报价人须知</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（3）采购内容及要求</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（4）采购合同</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（5）磋商报价文件格式</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（6）相关的补充、修改文件</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7.采购文件的澄清与修改</w:t>
      </w:r>
    </w:p>
    <w:p>
      <w:pPr>
        <w:pStyle w:val="4"/>
        <w:snapToGrid w:val="0"/>
        <w:spacing w:line="360" w:lineRule="auto"/>
        <w:ind w:firstLine="420" w:firstLineChars="175"/>
        <w:outlineLvl w:val="9"/>
        <w:rPr>
          <w:rFonts w:hint="eastAsia" w:eastAsia="宋体" w:cs="宋体"/>
          <w:bCs/>
          <w:color w:val="000000" w:themeColor="text1"/>
          <w:sz w:val="24"/>
          <w:szCs w:val="24"/>
          <w:highlight w:val="none"/>
          <w14:textFill>
            <w14:solidFill>
              <w14:schemeClr w14:val="tx1"/>
            </w14:solidFill>
          </w14:textFill>
        </w:rPr>
      </w:pPr>
      <w:bookmarkStart w:id="39" w:name="_Toc17427"/>
      <w:r>
        <w:rPr>
          <w:rFonts w:hint="eastAsia" w:eastAsia="宋体" w:cs="宋体"/>
          <w:color w:val="000000" w:themeColor="text1"/>
          <w:sz w:val="24"/>
          <w:szCs w:val="24"/>
          <w:highlight w:val="none"/>
          <w14:textFill>
            <w14:solidFill>
              <w14:schemeClr w14:val="tx1"/>
            </w14:solidFill>
          </w14:textFill>
        </w:rPr>
        <w:t>7.1</w:t>
      </w:r>
      <w:r>
        <w:rPr>
          <w:rFonts w:hint="eastAsia" w:eastAsia="宋体"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eastAsia="宋体" w:cs="宋体"/>
          <w:color w:val="000000" w:themeColor="text1"/>
          <w:sz w:val="24"/>
          <w:szCs w:val="24"/>
          <w:highlight w:val="none"/>
          <w14:textFill>
            <w14:solidFill>
              <w14:schemeClr w14:val="tx1"/>
            </w14:solidFill>
          </w14:textFill>
        </w:rPr>
        <w:t>采购代理机构</w:t>
      </w:r>
      <w:r>
        <w:rPr>
          <w:rFonts w:hint="eastAsia" w:eastAsia="宋体"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eastAsia="宋体" w:cs="宋体"/>
          <w:color w:val="000000" w:themeColor="text1"/>
          <w:sz w:val="24"/>
          <w:szCs w:val="24"/>
          <w:highlight w:val="none"/>
          <w14:textFill>
            <w14:solidFill>
              <w14:schemeClr w14:val="tx1"/>
            </w14:solidFill>
          </w14:textFill>
        </w:rPr>
        <w:t>在原信息发布媒体上发布更正公告，</w:t>
      </w:r>
      <w:r>
        <w:rPr>
          <w:rFonts w:hint="eastAsia" w:eastAsia="宋体"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eastAsia="宋体" w:cs="宋体"/>
          <w:color w:val="000000" w:themeColor="text1"/>
          <w:sz w:val="24"/>
          <w:szCs w:val="24"/>
          <w:highlight w:val="none"/>
          <w14:textFill>
            <w14:solidFill>
              <w14:schemeClr w14:val="tx1"/>
            </w14:solidFill>
          </w14:textFill>
        </w:rPr>
        <w:t>（如属网上采购项目</w:t>
      </w:r>
      <w:r>
        <w:rPr>
          <w:rFonts w:hint="eastAsia" w:eastAsia="宋体"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eastAsia="宋体"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eastAsia="宋体" w:cs="宋体"/>
          <w:bCs/>
          <w:color w:val="000000" w:themeColor="text1"/>
          <w:sz w:val="24"/>
          <w:szCs w:val="24"/>
          <w:highlight w:val="none"/>
          <w14:textFill>
            <w14:solidFill>
              <w14:schemeClr w14:val="tx1"/>
            </w14:solidFill>
          </w14:textFill>
        </w:rPr>
        <w:t>本采购文件第7.2条规定的推迟响应截止时间情形不受本条约束。</w:t>
      </w:r>
      <w:bookmarkEnd w:id="39"/>
    </w:p>
    <w:p>
      <w:pPr>
        <w:pStyle w:val="4"/>
        <w:snapToGrid w:val="0"/>
        <w:spacing w:line="360" w:lineRule="auto"/>
        <w:ind w:firstLine="420" w:firstLineChars="175"/>
        <w:outlineLvl w:val="9"/>
        <w:rPr>
          <w:rFonts w:hint="eastAsia" w:eastAsia="宋体" w:cs="宋体"/>
          <w:color w:val="000000" w:themeColor="text1"/>
          <w:sz w:val="24"/>
          <w:szCs w:val="24"/>
          <w:highlight w:val="none"/>
          <w14:textFill>
            <w14:solidFill>
              <w14:schemeClr w14:val="tx1"/>
            </w14:solidFill>
          </w14:textFill>
        </w:rPr>
      </w:pPr>
      <w:bookmarkStart w:id="40" w:name="_Toc3122"/>
      <w:r>
        <w:rPr>
          <w:rFonts w:hint="eastAsia" w:eastAsia="宋体"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40"/>
    </w:p>
    <w:p>
      <w:pPr>
        <w:pStyle w:val="4"/>
        <w:snapToGrid w:val="0"/>
        <w:spacing w:line="360" w:lineRule="auto"/>
        <w:ind w:firstLine="420" w:firstLineChars="175"/>
        <w:outlineLvl w:val="9"/>
        <w:rPr>
          <w:rFonts w:hint="eastAsia" w:eastAsia="宋体" w:cs="宋体"/>
          <w:color w:val="000000" w:themeColor="text1"/>
          <w:sz w:val="24"/>
          <w:szCs w:val="24"/>
          <w:highlight w:val="none"/>
          <w14:textFill>
            <w14:solidFill>
              <w14:schemeClr w14:val="tx1"/>
            </w14:solidFill>
          </w14:textFill>
        </w:rPr>
      </w:pPr>
    </w:p>
    <w:p>
      <w:pPr>
        <w:pStyle w:val="4"/>
        <w:snapToGrid w:val="0"/>
        <w:spacing w:line="360" w:lineRule="auto"/>
        <w:ind w:firstLine="562" w:firstLineChars="175"/>
        <w:jc w:val="center"/>
        <w:outlineLvl w:val="1"/>
        <w:rPr>
          <w:rFonts w:hint="eastAsia" w:eastAsia="宋体" w:cs="宋体"/>
          <w:bCs/>
          <w:color w:val="000000" w:themeColor="text1"/>
          <w:sz w:val="24"/>
          <w:szCs w:val="24"/>
          <w:highlight w:val="none"/>
          <w14:textFill>
            <w14:solidFill>
              <w14:schemeClr w14:val="tx1"/>
            </w14:solidFill>
          </w14:textFill>
        </w:rPr>
      </w:pPr>
      <w:bookmarkStart w:id="41" w:name="_Toc21732"/>
      <w:bookmarkStart w:id="42" w:name="_Toc22513"/>
      <w:r>
        <w:rPr>
          <w:rFonts w:hint="eastAsia" w:eastAsia="宋体" w:cs="宋体"/>
          <w:b/>
          <w:color w:val="000000" w:themeColor="text1"/>
          <w:sz w:val="32"/>
          <w:szCs w:val="32"/>
          <w:highlight w:val="none"/>
          <w14:textFill>
            <w14:solidFill>
              <w14:schemeClr w14:val="tx1"/>
            </w14:solidFill>
          </w14:textFill>
        </w:rPr>
        <w:t>三、报价文件的编写</w:t>
      </w:r>
      <w:bookmarkEnd w:id="41"/>
      <w:bookmarkEnd w:id="42"/>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8.要求</w:t>
      </w:r>
    </w:p>
    <w:p>
      <w:pPr>
        <w:pStyle w:val="6"/>
        <w:spacing w:line="360" w:lineRule="auto"/>
        <w:ind w:firstLine="48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9.磋商报价文件语言及报价要求</w:t>
      </w:r>
    </w:p>
    <w:p>
      <w:pPr>
        <w:pStyle w:val="6"/>
        <w:spacing w:line="360" w:lineRule="auto"/>
        <w:ind w:firstLine="480" w:firstLineChars="200"/>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9.1磋商报价文件应用中文书写。报价文件中所附或所引用的原件不是中文时，应附中文译文。各种计量单位及符号应采用国际上统一使用的公制计量单位和符号。</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10.磋商报价文件的组成</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10.1磋商报价文件应包括下列部分：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磋商响应声明函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(3)磋商分项报价表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货物说明一览表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供货范围清单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报价人提交的其他资料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 磋商保证金</w:t>
      </w:r>
    </w:p>
    <w:p>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（11）报价人应交的其他资料</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11.</w:t>
      </w:r>
      <w:r>
        <w:rPr>
          <w:rFonts w:hint="eastAsia" w:hAnsi="宋体" w:eastAsia="宋体" w:cs="宋体"/>
          <w:b/>
          <w:color w:val="000000" w:themeColor="text1"/>
          <w:sz w:val="24"/>
          <w:szCs w:val="24"/>
          <w:highlight w:val="none"/>
          <w:lang w:eastAsia="zh-CN"/>
          <w14:textFill>
            <w14:solidFill>
              <w14:schemeClr w14:val="tx1"/>
            </w14:solidFill>
          </w14:textFill>
        </w:rPr>
        <w:t>报价</w:t>
      </w:r>
      <w:r>
        <w:rPr>
          <w:rFonts w:hint="eastAsia" w:hAnsi="宋体" w:eastAsia="宋体" w:cs="宋体"/>
          <w:b/>
          <w:color w:val="000000" w:themeColor="text1"/>
          <w:sz w:val="24"/>
          <w:szCs w:val="24"/>
          <w:highlight w:val="none"/>
          <w14:textFill>
            <w14:solidFill>
              <w14:schemeClr w14:val="tx1"/>
            </w14:solidFill>
          </w14:textFill>
        </w:rPr>
        <w:t>有效期</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11.1报价文件从</w:t>
      </w:r>
      <w:r>
        <w:rPr>
          <w:rFonts w:hint="eastAsia" w:hAnsi="宋体" w:eastAsia="宋体" w:cs="宋体"/>
          <w:bCs/>
          <w:color w:val="000000" w:themeColor="text1"/>
          <w:sz w:val="24"/>
          <w:szCs w:val="24"/>
          <w:highlight w:val="none"/>
          <w14:textFill>
            <w14:solidFill>
              <w14:schemeClr w14:val="tx1"/>
            </w14:solidFill>
          </w14:textFill>
        </w:rPr>
        <w:t>报价人须知前附表1</w:t>
      </w:r>
      <w:r>
        <w:rPr>
          <w:rFonts w:hint="eastAsia" w:hAnsi="宋体" w:eastAsia="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color w:val="000000" w:themeColor="text1"/>
          <w:sz w:val="24"/>
          <w:szCs w:val="24"/>
          <w:highlight w:val="none"/>
          <w14:textFill>
            <w14:solidFill>
              <w14:schemeClr w14:val="tx1"/>
            </w14:solidFill>
          </w14:textFill>
        </w:rPr>
        <w:t>所规定的期限内保持有效。有效期不足将导致其报价文件被拒绝。</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12.磋商保证金</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12.1 磋商保证金为报价文件的组成部分之一。</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报价人应在提交报价文件之前向采购代理机构指定的采购保证金专户缴交报价人须知前附表要求的磋商保证金。联合体参加磋商的，可以由联合体中的一方或者共同提交磋商保证金，以一方名义提交磋商保证金的，对联合体各方均具有约束力。</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12.4磋商保证金交纳方式及其它：</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②若项目存在分包的，则磋商保证金应按不同的合同包号分别提交。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12.5 未按要求提交磋商保证金的磋商响应，将被视为无效响应。</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采购代理机构逾期未退还磋商保证金的，采购代理机构除应当退还磋商保证金本金外，还应当按商业银行同期一年期贷款基准利率上浮20%后的利率向报价人支付资金占用费。</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12.7在成交供应商支付所有</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并签订合同后5个工作日内，采购代理机构对成交供应商的磋商保证金予以原额无息退还。</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12.8磋商保证金产生的银行利息统一上缴市财政。</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（1）报价人在提交最后报价后，撤回磋商响应；</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（3）成交供应商未按本须知规定缴纳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（5）报价人在报价文件中提供虚假材料的；</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（6）在禁止参加采购活动的处罚期内，仍参加采购活动的；</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（7）以不正当手段诋毁、排挤其他报价人的；</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（8）因本项目采购过程中的违法行为，受到行政处罚的；</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（9）与采购人、其他报价人或者采购代理机构恶意串通的；</w:t>
      </w:r>
    </w:p>
    <w:p>
      <w:pPr>
        <w:pStyle w:val="6"/>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（10）法律、法规、规章及本采购文件中规定的其他没收磋商保证金的情形。</w:t>
      </w:r>
    </w:p>
    <w:p>
      <w:pPr>
        <w:pStyle w:val="6"/>
        <w:spacing w:line="360" w:lineRule="auto"/>
        <w:ind w:firstLine="840" w:firstLineChars="3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13.磋商报价文件的格式</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eastAsia="宋体" w:cs="宋体"/>
          <w:color w:val="000000" w:themeColor="text1"/>
          <w:sz w:val="24"/>
          <w:szCs w:val="24"/>
          <w:highlight w:val="none"/>
          <w:u w:val="single"/>
          <w:lang w:eastAsia="zh-CN"/>
          <w14:textFill>
            <w14:solidFill>
              <w14:schemeClr w14:val="tx1"/>
            </w14:solidFill>
          </w14:textFill>
        </w:rPr>
        <w:t>四</w:t>
      </w:r>
      <w:r>
        <w:rPr>
          <w:rFonts w:hint="eastAsia" w:hAnsi="宋体" w:eastAsia="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13.3除非另有规定或许可，磋商响应使用货币为人民币。</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43" w:name="_Toc13189"/>
      <w:bookmarkStart w:id="44" w:name="_Toc13070"/>
      <w:r>
        <w:rPr>
          <w:rFonts w:hint="eastAsia" w:hAnsi="宋体" w:eastAsia="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43"/>
      <w:bookmarkEnd w:id="44"/>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45" w:name="_Toc23936"/>
      <w:bookmarkStart w:id="46" w:name="_Toc18146"/>
      <w:r>
        <w:rPr>
          <w:rFonts w:hint="eastAsia" w:hAnsi="宋体" w:eastAsia="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bookmarkEnd w:id="45"/>
      <w:bookmarkEnd w:id="46"/>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47" w:name="_Toc29417"/>
      <w:bookmarkStart w:id="48" w:name="_Toc1606"/>
      <w:r>
        <w:rPr>
          <w:rFonts w:hint="eastAsia" w:hAnsi="宋体" w:eastAsia="宋体" w:cs="宋体"/>
          <w:color w:val="000000" w:themeColor="text1"/>
          <w:sz w:val="24"/>
          <w:szCs w:val="24"/>
          <w:highlight w:val="none"/>
          <w14:textFill>
            <w14:solidFill>
              <w14:schemeClr w14:val="tx1"/>
            </w14:solidFill>
          </w14:textFill>
        </w:rPr>
        <w:t>13.8 所有资格证明文件复印件须加盖报价人公章。</w:t>
      </w:r>
      <w:bookmarkEnd w:id="47"/>
      <w:bookmarkEnd w:id="48"/>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49" w:name="_Toc28366"/>
      <w:bookmarkStart w:id="50" w:name="_Toc29484"/>
      <w:r>
        <w:rPr>
          <w:rFonts w:hint="eastAsia" w:hAnsi="宋体" w:eastAsia="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49"/>
      <w:bookmarkEnd w:id="50"/>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21"/>
        <w:spacing w:line="360" w:lineRule="auto"/>
        <w:ind w:firstLine="643" w:firstLineChars="200"/>
        <w:jc w:val="center"/>
        <w:outlineLvl w:val="1"/>
        <w:rPr>
          <w:rFonts w:hint="eastAsia" w:hAnsi="宋体" w:eastAsia="宋体" w:cs="宋体"/>
          <w:b/>
          <w:color w:val="000000" w:themeColor="text1"/>
          <w:sz w:val="24"/>
          <w:szCs w:val="24"/>
          <w:highlight w:val="none"/>
          <w14:textFill>
            <w14:solidFill>
              <w14:schemeClr w14:val="tx1"/>
            </w14:solidFill>
          </w14:textFill>
        </w:rPr>
      </w:pPr>
      <w:bookmarkStart w:id="51" w:name="_Toc15133"/>
      <w:bookmarkStart w:id="52" w:name="_Toc335"/>
      <w:r>
        <w:rPr>
          <w:rFonts w:hint="eastAsia" w:hAnsi="宋体" w:eastAsia="宋体" w:cs="宋体"/>
          <w:b/>
          <w:color w:val="000000" w:themeColor="text1"/>
          <w:sz w:val="32"/>
          <w:szCs w:val="32"/>
          <w:highlight w:val="none"/>
          <w14:textFill>
            <w14:solidFill>
              <w14:schemeClr w14:val="tx1"/>
            </w14:solidFill>
          </w14:textFill>
        </w:rPr>
        <w:t>四、报价文件的提交</w:t>
      </w:r>
      <w:bookmarkEnd w:id="51"/>
      <w:bookmarkEnd w:id="52"/>
    </w:p>
    <w:p>
      <w:pPr>
        <w:pStyle w:val="21"/>
        <w:spacing w:line="360" w:lineRule="auto"/>
        <w:outlineLvl w:val="9"/>
        <w:rPr>
          <w:rFonts w:hint="eastAsia" w:hAnsi="宋体" w:eastAsia="宋体" w:cs="宋体"/>
          <w:b/>
          <w:color w:val="000000" w:themeColor="text1"/>
          <w:sz w:val="24"/>
          <w:szCs w:val="24"/>
          <w:highlight w:val="none"/>
          <w14:textFill>
            <w14:solidFill>
              <w14:schemeClr w14:val="tx1"/>
            </w14:solidFill>
          </w14:textFill>
        </w:rPr>
      </w:pPr>
      <w:bookmarkStart w:id="53" w:name="_Toc5710"/>
      <w:bookmarkStart w:id="54" w:name="_Toc31024"/>
      <w:r>
        <w:rPr>
          <w:rFonts w:hint="eastAsia" w:hAnsi="宋体" w:eastAsia="宋体" w:cs="宋体"/>
          <w:b/>
          <w:color w:val="000000" w:themeColor="text1"/>
          <w:sz w:val="24"/>
          <w:szCs w:val="24"/>
          <w:highlight w:val="none"/>
          <w14:textFill>
            <w14:solidFill>
              <w14:schemeClr w14:val="tx1"/>
            </w14:solidFill>
          </w14:textFill>
        </w:rPr>
        <w:t>14.报价文件的密封、标记和递交</w:t>
      </w:r>
      <w:bookmarkEnd w:id="53"/>
      <w:bookmarkEnd w:id="54"/>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55" w:name="_Toc5258"/>
      <w:bookmarkStart w:id="56" w:name="_Toc30695"/>
      <w:r>
        <w:rPr>
          <w:rFonts w:hint="eastAsia" w:hAnsi="宋体" w:eastAsia="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bookmarkEnd w:id="55"/>
      <w:bookmarkEnd w:id="56"/>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57" w:name="_Toc12256"/>
      <w:bookmarkStart w:id="58" w:name="_Toc11038"/>
      <w:r>
        <w:rPr>
          <w:rFonts w:hint="eastAsia" w:hAnsi="宋体" w:eastAsia="宋体" w:cs="宋体"/>
          <w:color w:val="000000" w:themeColor="text1"/>
          <w:sz w:val="24"/>
          <w:szCs w:val="24"/>
          <w:highlight w:val="none"/>
          <w14:textFill>
            <w14:solidFill>
              <w14:schemeClr w14:val="tx1"/>
            </w14:solidFill>
          </w14:textFill>
        </w:rPr>
        <w:t>14.2每一信封密封处应注明“于</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之前（指磋商邀请中规定的磋商日期及时间）不准启封”的字样，并加盖报价人公章或由磋商代表签字。</w:t>
      </w:r>
      <w:bookmarkEnd w:id="57"/>
      <w:bookmarkEnd w:id="58"/>
      <w:r>
        <w:rPr>
          <w:rFonts w:hint="eastAsia" w:hAnsi="宋体" w:eastAsia="宋体" w:cs="宋体"/>
          <w:color w:val="000000" w:themeColor="text1"/>
          <w:sz w:val="24"/>
          <w:szCs w:val="24"/>
          <w:highlight w:val="none"/>
          <w14:textFill>
            <w14:solidFill>
              <w14:schemeClr w14:val="tx1"/>
            </w14:solidFill>
          </w14:textFill>
        </w:rPr>
        <w:t xml:space="preserve">     </w:t>
      </w:r>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59" w:name="_Toc13521"/>
      <w:bookmarkStart w:id="60" w:name="_Toc29362"/>
      <w:r>
        <w:rPr>
          <w:rFonts w:hint="eastAsia" w:hAnsi="宋体" w:eastAsia="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bookmarkEnd w:id="59"/>
      <w:bookmarkEnd w:id="60"/>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61" w:name="_Toc22882"/>
      <w:bookmarkStart w:id="62" w:name="_Toc9964"/>
      <w:r>
        <w:rPr>
          <w:rFonts w:hint="eastAsia" w:hAnsi="宋体" w:eastAsia="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bookmarkEnd w:id="61"/>
      <w:bookmarkEnd w:id="62"/>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63" w:name="_Toc25503"/>
      <w:bookmarkStart w:id="64" w:name="_Toc8860"/>
      <w:r>
        <w:rPr>
          <w:rFonts w:hint="eastAsia" w:hAnsi="宋体" w:eastAsia="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bookmarkEnd w:id="63"/>
      <w:bookmarkEnd w:id="64"/>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65" w:name="_Toc31523"/>
      <w:bookmarkStart w:id="66" w:name="_Toc26183"/>
      <w:r>
        <w:rPr>
          <w:rFonts w:hint="eastAsia" w:hAnsi="宋体" w:eastAsia="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bookmarkEnd w:id="65"/>
      <w:bookmarkEnd w:id="66"/>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bookmarkStart w:id="67" w:name="_Toc4278"/>
      <w:bookmarkStart w:id="68" w:name="_Toc7843"/>
      <w:r>
        <w:rPr>
          <w:rFonts w:hint="eastAsia" w:hAnsi="宋体" w:eastAsia="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67"/>
      <w:bookmarkEnd w:id="68"/>
    </w:p>
    <w:p>
      <w:pPr>
        <w:pStyle w:val="21"/>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pPr>
        <w:pStyle w:val="21"/>
        <w:spacing w:line="360" w:lineRule="auto"/>
        <w:ind w:firstLine="643" w:firstLineChars="200"/>
        <w:jc w:val="center"/>
        <w:outlineLvl w:val="1"/>
        <w:rPr>
          <w:rFonts w:hint="eastAsia" w:hAnsi="宋体" w:eastAsia="宋体" w:cs="宋体"/>
          <w:b/>
          <w:color w:val="000000" w:themeColor="text1"/>
          <w:sz w:val="24"/>
          <w:szCs w:val="24"/>
          <w:highlight w:val="none"/>
          <w14:textFill>
            <w14:solidFill>
              <w14:schemeClr w14:val="tx1"/>
            </w14:solidFill>
          </w14:textFill>
        </w:rPr>
      </w:pPr>
      <w:bookmarkStart w:id="69" w:name="_Toc11443"/>
      <w:bookmarkStart w:id="70" w:name="_Toc1857"/>
      <w:r>
        <w:rPr>
          <w:rFonts w:hint="eastAsia" w:hAnsi="宋体" w:eastAsia="宋体" w:cs="宋体"/>
          <w:b/>
          <w:color w:val="000000" w:themeColor="text1"/>
          <w:sz w:val="32"/>
          <w:szCs w:val="32"/>
          <w:highlight w:val="none"/>
          <w14:textFill>
            <w14:solidFill>
              <w14:schemeClr w14:val="tx1"/>
            </w14:solidFill>
          </w14:textFill>
        </w:rPr>
        <w:t>五、报价文件的评估和比较</w:t>
      </w:r>
      <w:bookmarkEnd w:id="69"/>
      <w:bookmarkEnd w:id="70"/>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15.磋商时间</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16.磋商小组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(8)不符合采购文件中规定的其它实质性条款。</w:t>
      </w:r>
    </w:p>
    <w:p>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17.4报价人提交的报价文件将给予保密，但不予退回。</w:t>
      </w:r>
    </w:p>
    <w:p>
      <w:pPr>
        <w:pStyle w:val="4"/>
        <w:snapToGrid w:val="0"/>
        <w:spacing w:line="360" w:lineRule="auto"/>
        <w:ind w:firstLine="480" w:firstLineChars="200"/>
        <w:outlineLvl w:val="9"/>
        <w:rPr>
          <w:rFonts w:hint="eastAsia" w:eastAsia="宋体" w:cs="宋体"/>
          <w:color w:val="000000" w:themeColor="text1"/>
          <w:sz w:val="24"/>
          <w:szCs w:val="24"/>
          <w:highlight w:val="none"/>
          <w14:textFill>
            <w14:solidFill>
              <w14:schemeClr w14:val="tx1"/>
            </w14:solidFill>
          </w14:textFill>
        </w:rPr>
      </w:pPr>
      <w:bookmarkStart w:id="71" w:name="_Toc24644"/>
      <w:r>
        <w:rPr>
          <w:rFonts w:hint="eastAsia" w:eastAsia="宋体"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bookmarkEnd w:id="71"/>
    </w:p>
    <w:p>
      <w:pPr>
        <w:pStyle w:val="4"/>
        <w:snapToGrid w:val="0"/>
        <w:spacing w:line="360" w:lineRule="auto"/>
        <w:ind w:firstLine="0"/>
        <w:outlineLvl w:val="9"/>
        <w:rPr>
          <w:rFonts w:hint="eastAsia" w:eastAsia="宋体" w:cs="宋体"/>
          <w:color w:val="000000" w:themeColor="text1"/>
          <w:sz w:val="24"/>
          <w:szCs w:val="24"/>
          <w:highlight w:val="none"/>
          <w14:textFill>
            <w14:solidFill>
              <w14:schemeClr w14:val="tx1"/>
            </w14:solidFill>
          </w14:textFill>
        </w:rPr>
      </w:pPr>
      <w:bookmarkStart w:id="72" w:name="_Toc1237"/>
      <w:r>
        <w:rPr>
          <w:rFonts w:hint="eastAsia" w:eastAsia="宋体" w:cs="宋体"/>
          <w:b/>
          <w:color w:val="000000" w:themeColor="text1"/>
          <w:sz w:val="24"/>
          <w:szCs w:val="24"/>
          <w:highlight w:val="none"/>
          <w14:textFill>
            <w14:solidFill>
              <w14:schemeClr w14:val="tx1"/>
            </w14:solidFill>
          </w14:textFill>
        </w:rPr>
        <w:t>18.磋商相应文件的澄清</w:t>
      </w:r>
      <w:bookmarkEnd w:id="72"/>
    </w:p>
    <w:p>
      <w:pPr>
        <w:pStyle w:val="4"/>
        <w:snapToGrid w:val="0"/>
        <w:spacing w:line="360" w:lineRule="auto"/>
        <w:ind w:firstLine="480" w:firstLineChars="200"/>
        <w:outlineLvl w:val="9"/>
        <w:rPr>
          <w:rFonts w:hint="eastAsia" w:eastAsia="宋体" w:cs="宋体"/>
          <w:color w:val="000000" w:themeColor="text1"/>
          <w:sz w:val="24"/>
          <w:szCs w:val="24"/>
          <w:highlight w:val="none"/>
          <w14:textFill>
            <w14:solidFill>
              <w14:schemeClr w14:val="tx1"/>
            </w14:solidFill>
          </w14:textFill>
        </w:rPr>
      </w:pPr>
      <w:bookmarkStart w:id="73" w:name="_Toc4034"/>
      <w:r>
        <w:rPr>
          <w:rFonts w:hint="eastAsia" w:eastAsia="宋体"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73"/>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19.比较与评价</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p>
    <w:p>
      <w:pPr>
        <w:pStyle w:val="21"/>
        <w:spacing w:line="360" w:lineRule="auto"/>
        <w:jc w:val="center"/>
        <w:outlineLvl w:val="1"/>
        <w:rPr>
          <w:rFonts w:hint="eastAsia" w:hAnsi="宋体" w:eastAsia="宋体" w:cs="宋体"/>
          <w:b/>
          <w:color w:val="000000" w:themeColor="text1"/>
          <w:sz w:val="24"/>
          <w:szCs w:val="24"/>
          <w:highlight w:val="none"/>
          <w14:textFill>
            <w14:solidFill>
              <w14:schemeClr w14:val="tx1"/>
            </w14:solidFill>
          </w14:textFill>
        </w:rPr>
      </w:pPr>
      <w:bookmarkStart w:id="74" w:name="_Toc21517"/>
      <w:bookmarkStart w:id="75" w:name="_Toc11982"/>
      <w:r>
        <w:rPr>
          <w:rFonts w:hint="eastAsia" w:hAnsi="宋体" w:eastAsia="宋体" w:cs="宋体"/>
          <w:b/>
          <w:color w:val="000000" w:themeColor="text1"/>
          <w:sz w:val="32"/>
          <w:szCs w:val="32"/>
          <w:highlight w:val="none"/>
          <w14:textFill>
            <w14:solidFill>
              <w14:schemeClr w14:val="tx1"/>
            </w14:solidFill>
          </w14:textFill>
        </w:rPr>
        <w:t>六、成交与签订合同</w:t>
      </w:r>
      <w:bookmarkEnd w:id="74"/>
      <w:bookmarkEnd w:id="75"/>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20.成交准则</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21.成交通知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21.2《成交通知书》发出同时应将未成交通知书发送给其他报价人。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pPr>
        <w:pStyle w:val="6"/>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22.签订合同</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采购的有关规定处理。</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成交供应商因不可抗力或者自身原因不能履行采购合同的，采购人可以与排位在成交供应商之后第一位的成交备选供应商签订采购合同，以此类推。且在此情况下，作为成交供应商之后第一位的成交候选人应同意与采购人按不高于其最终报价签订采购合同。</w:t>
      </w:r>
    </w:p>
    <w:p>
      <w:pPr>
        <w:pStyle w:val="6"/>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23.</w:t>
      </w:r>
      <w:r>
        <w:rPr>
          <w:rFonts w:hint="eastAsia" w:hAnsi="宋体" w:eastAsia="宋体" w:cs="宋体"/>
          <w:b/>
          <w:color w:val="000000" w:themeColor="text1"/>
          <w:sz w:val="24"/>
          <w:szCs w:val="24"/>
          <w:highlight w:val="none"/>
          <w:lang w:eastAsia="zh-CN"/>
          <w14:textFill>
            <w14:solidFill>
              <w14:schemeClr w14:val="tx1"/>
            </w14:solidFill>
          </w14:textFill>
        </w:rPr>
        <w:t>代理服务费</w:t>
      </w:r>
    </w:p>
    <w:p>
      <w:pPr>
        <w:pStyle w:val="6"/>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成交供应商应按须知前附表一次性向采购代理机构交纳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bookmarkStart w:id="76" w:name="_Toc30657"/>
      <w:r>
        <w:rPr>
          <w:rFonts w:hint="eastAsia" w:ascii="宋体" w:hAnsi="宋体" w:eastAsia="宋体" w:cs="宋体"/>
          <w:b/>
          <w:bCs/>
          <w:color w:val="000000" w:themeColor="text1"/>
          <w:sz w:val="32"/>
          <w:szCs w:val="32"/>
          <w:highlight w:val="none"/>
          <w14:textFill>
            <w14:solidFill>
              <w14:schemeClr w14:val="tx1"/>
            </w14:solidFill>
          </w14:textFill>
        </w:rPr>
        <w:t>第三章  磋商内容及要求</w:t>
      </w:r>
      <w:bookmarkEnd w:id="76"/>
    </w:p>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7" w:name="_Toc23630"/>
      <w:r>
        <w:rPr>
          <w:rFonts w:hint="eastAsia" w:ascii="宋体" w:hAnsi="宋体" w:eastAsia="宋体" w:cs="宋体"/>
          <w:color w:val="000000" w:themeColor="text1"/>
          <w:sz w:val="24"/>
          <w:szCs w:val="24"/>
          <w:highlight w:val="none"/>
          <w14:textFill>
            <w14:solidFill>
              <w14:schemeClr w14:val="tx1"/>
            </w14:solidFill>
          </w14:textFill>
        </w:rPr>
        <w:t>一、仪器检测原理</w:t>
      </w:r>
      <w:bookmarkEnd w:id="77"/>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color w:val="000000" w:themeColor="text1"/>
          <w:spacing w:val="-6"/>
          <w:sz w:val="24"/>
          <w:szCs w:val="24"/>
          <w:highlight w:val="none"/>
          <w14:textFill>
            <w14:solidFill>
              <w14:schemeClr w14:val="tx1"/>
            </w14:solidFill>
          </w14:textFill>
        </w:rPr>
      </w:pPr>
      <w:r>
        <w:rPr>
          <w:rFonts w:hint="eastAsia" w:ascii="宋体" w:hAnsi="宋体" w:eastAsia="宋体" w:cs="宋体"/>
          <w:b w:val="0"/>
          <w:bCs/>
          <w:color w:val="000000" w:themeColor="text1"/>
          <w:spacing w:val="-6"/>
          <w:sz w:val="24"/>
          <w:szCs w:val="24"/>
          <w:highlight w:val="none"/>
          <w14:textFill>
            <w14:solidFill>
              <w14:schemeClr w14:val="tx1"/>
            </w14:solidFill>
          </w14:textFill>
        </w:rPr>
        <w:t>用现代电子技术进行称量的天平称为电子天平。其称量原理是电磁力平衡原理。当把通电导线放在磁场中时，导线将产生磁力，当磁场强度不变时，力的大小与流过线圈的电流强度成正比。如物体的重力方向向下，电磁力方向向上，二者相平衡，则通过导线的电流与被称物体的质量成正比。</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color w:val="000000" w:themeColor="text1"/>
          <w:spacing w:val="-6"/>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pacing w:val="-6"/>
          <w:sz w:val="24"/>
          <w:szCs w:val="24"/>
          <w:highlight w:val="none"/>
          <w14:textFill>
            <w14:solidFill>
              <w14:schemeClr w14:val="tx1"/>
            </w14:solidFill>
          </w14:textFill>
        </w:rPr>
        <w:t>电子天平采用弹性簧片为支撑点，无机械天平的玛瑙刀口，采用数字显示代替指针显示。具有性能稳定，灵敏度高，操作方便快捷（放上被称物后，几秒内即能读数）,精度高等优点。电子天平还具有自动校正，全量程范围实现去皮重、累加，超载显示，故障报警等功能，并且具有质量电信号输出，可以与计算机、打印机连接，实现称量、记录和计算的自动化，这些优点是机械天平无法比拟的。故其应用也越来越广泛。</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78" w:name="_Toc10461"/>
      <w:r>
        <w:rPr>
          <w:rFonts w:hint="eastAsia" w:ascii="宋体" w:hAnsi="宋体" w:eastAsia="宋体" w:cs="宋体"/>
          <w:b/>
          <w:color w:val="000000" w:themeColor="text1"/>
          <w:sz w:val="24"/>
          <w:szCs w:val="24"/>
          <w:highlight w:val="none"/>
          <w14:textFill>
            <w14:solidFill>
              <w14:schemeClr w14:val="tx1"/>
            </w14:solidFill>
          </w14:textFill>
        </w:rPr>
        <w:t>二、各项配置的技术要求</w:t>
      </w:r>
      <w:bookmarkEnd w:id="78"/>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最大秤量(全量程/精细量程)、可读性：60/120g 、0.01/0.1mg。十万分之一量程段可移动（皮重不占精度）。（提供产品技术说明书或彩页佐证）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2.2</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操作范围的最佳起点：10 mg。（提供产品技术说明书或彩页佐证）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2.3</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接近最大量程处重复性≤±0.06mg，线性≤±0.15mg。（提供产品技术说明书或彩页佐证）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2.4</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典型的稳定时间≤2s，典型的测量时间≤6s。（提供产品技术说明书或彩页佐证）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2.5</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偏心载重（mg）[检验载重]（g）：0.2[50]。</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2.6</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彩色不小于7英寸16：9 TFT触摸屏，清晰显示文本和图形，操作简单。（提供产品技术说明书或彩页佐证）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2.7</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标配全自动一键式水平调节功能，自动马达驱动，无需手动调整水平。（提供产品技术说明书或彩页佐证）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2.8</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电动防风罩，具有智能学习能力，可任意定义侧门和顶门的开合幅度，</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2.9</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配置手势感应器，可配不少于4种手势命令，包括开关门，去静电，去皮，打印等，实现全程无触碰操作。（提供产品技术说明书或彩页佐证）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2.10</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防风罩内置静电消除器，具有不少于4个除静电口，称量样品无需拿出称量室即可方便的消除静电对称量的干扰。（提供产品技术说明书或彩页佐证）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2.11</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钛合金称盘，无磁、耐腐蚀。</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2.12</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配置状态显示中心，显示天平和环境条件信息，实时监测天平的水平状态和校准情况，并提供报警功能。</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2.13</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两种密码管理方式，支持本地密码和集成到局域网中的用户密码管理。</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2.14</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具有审计追踪（Audit Trail）功能，记录天平的各项设置更改，校准记录，所有信息均可筛选通过U盘导出（CSV和PDF可选）并带MD5防伪码。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2.15</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具有isoCAL功能，可实现由温度和时间触发的自动内部校准功能，内置两组校准砝码，可灵活定义天平进行内部校准、外部校准、多点线性校准。</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2.16</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多级用户管理功能，除管理员、操作者、访客、服务外还可根据用户需求建立组群，进行管理。可给每个用户分配不同的权限，设置密码保护。（提供产品技术说明书或彩页佐证）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2.17</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内置存储器，可存储不少于15万条称重数据，并且具有循环覆盖机制；所有记录可通过U盘进行安全备份（CSV和PDF可选）并带MD5防伪码。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2.18</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包含所有元数据的GLP打印、用户可自定义数据输出方式和内容（打印机，FTP，U盘），打印预览，错误数据可进行无效处理及原因说明。</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2.19</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符合21 CFR Part 11电子签名，电子签名只开放给有密码保护的用户，具有唯一可识别性。</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pP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w:t>
      </w: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2.20</w:t>
      </w:r>
      <w:r>
        <w:rPr>
          <w:rFonts w:hint="eastAsia" w:ascii="宋体" w:hAnsi="宋体" w:eastAsia="宋体" w:cs="宋体"/>
          <w:b w:val="0"/>
          <w:bCs/>
          <w:i w:val="0"/>
          <w:iCs w:val="0"/>
          <w:color w:val="000000" w:themeColor="text1"/>
          <w:spacing w:val="-6"/>
          <w:sz w:val="24"/>
          <w:szCs w:val="24"/>
          <w:highlight w:val="none"/>
          <w14:textFill>
            <w14:solidFill>
              <w14:schemeClr w14:val="tx1"/>
            </w14:solidFill>
          </w14:textFill>
        </w:rPr>
        <w:t>标配不少4个USB、1个RS232，以太网口。接口开放，支持各种设备联用和系统接入。（提供产品技术说明书或彩页佐证）</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default" w:ascii="宋体" w:hAnsi="宋体" w:cs="宋体"/>
          <w:b w:val="0"/>
          <w:bCs/>
          <w:i w:val="0"/>
          <w:iCs w:val="0"/>
          <w:color w:val="000000" w:themeColor="text1"/>
          <w:spacing w:val="-6"/>
          <w:sz w:val="24"/>
          <w:szCs w:val="24"/>
          <w:highlight w:val="none"/>
          <w:lang w:val="en-US" w:eastAsia="zh-CN"/>
          <w14:textFill>
            <w14:solidFill>
              <w14:schemeClr w14:val="tx1"/>
            </w14:solidFill>
          </w14:textFill>
        </w:rPr>
      </w:pPr>
      <w:r>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t>2.21配置要求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577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sz w:val="24"/>
                <w:szCs w:val="28"/>
                <w:highlight w:val="none"/>
                <w:vertAlign w:val="baseline"/>
                <w:lang w:val="en-US" w:eastAsia="zh-CN"/>
                <w14:textFill>
                  <w14:solidFill>
                    <w14:schemeClr w14:val="tx1"/>
                  </w14:solidFill>
                </w14:textFill>
              </w:rPr>
              <w:t>序号</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sz w:val="24"/>
                <w:szCs w:val="28"/>
                <w:highlight w:val="none"/>
                <w:vertAlign w:val="baseline"/>
                <w:lang w:val="en-US" w:eastAsia="zh-CN"/>
                <w14:textFill>
                  <w14:solidFill>
                    <w14:schemeClr w14:val="tx1"/>
                  </w14:solidFill>
                </w14:textFill>
              </w:rPr>
              <w:t>名称</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sz w:val="24"/>
                <w:szCs w:val="28"/>
                <w:highlight w:val="none"/>
                <w:vertAlign w:val="baseline"/>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电子天平主机</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2</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7英寸彩色显示操作屏</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3</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带防静电涂层电动防风罩</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4</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防风罩内置具有4个除静电口的静电消除器</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5</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手势控制器，用于无接触控制自动开关门，去皮，清零等操作</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6</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全自动调水平系统</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7</w:t>
            </w:r>
          </w:p>
        </w:tc>
        <w:tc>
          <w:tcPr>
            <w:tcW w:w="5775"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cs="宋体"/>
                <w:b w:val="0"/>
                <w:bCs w:val="0"/>
                <w:i w:val="0"/>
                <w:iCs w:val="0"/>
                <w:color w:val="000000" w:themeColor="text1"/>
                <w:spacing w:val="0"/>
                <w:sz w:val="24"/>
                <w:szCs w:val="28"/>
                <w:highlight w:val="none"/>
                <w:lang w:val="en-US" w:eastAsia="zh-CN"/>
                <w14:textFill>
                  <w14:solidFill>
                    <w14:schemeClr w14:val="tx1"/>
                  </w14:solidFill>
                </w14:textFill>
              </w:rPr>
              <w:t>制药软件包（安装天平本机上）</w:t>
            </w:r>
          </w:p>
        </w:tc>
        <w:tc>
          <w:tcPr>
            <w:tcW w:w="165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sz w:val="24"/>
                <w:szCs w:val="28"/>
                <w:highlight w:val="none"/>
                <w:vertAlign w:val="baseline"/>
                <w:lang w:val="en-US" w:eastAsia="zh-CN"/>
                <w14:textFill>
                  <w14:solidFill>
                    <w14:schemeClr w14:val="tx1"/>
                  </w14:solidFill>
                </w14:textFill>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cs="宋体"/>
          <w:b w:val="0"/>
          <w:bCs/>
          <w:i w:val="0"/>
          <w:iCs w:val="0"/>
          <w:color w:val="000000" w:themeColor="text1"/>
          <w:spacing w:val="-6"/>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default" w:ascii="宋体" w:hAnsi="宋体" w:eastAsia="宋体" w:cs="宋体"/>
          <w:b w:val="0"/>
          <w:bCs/>
          <w:i w:val="0"/>
          <w:iCs w:val="0"/>
          <w:color w:val="000000" w:themeColor="text1"/>
          <w:spacing w:val="-6"/>
          <w:sz w:val="24"/>
          <w:szCs w:val="24"/>
          <w:highlight w:val="none"/>
          <w:lang w:val="en-US" w:eastAsia="zh-CN"/>
          <w14:textFill>
            <w14:solidFill>
              <w14:schemeClr w14:val="tx1"/>
            </w14:solidFill>
          </w14:textFill>
        </w:rPr>
      </w:pPr>
    </w:p>
    <w:p>
      <w:pPr>
        <w:pStyle w:val="4"/>
        <w:spacing w:line="360" w:lineRule="auto"/>
        <w:ind w:left="0" w:leftChars="0" w:firstLine="0" w:firstLineChars="0"/>
        <w:outlineLvl w:val="1"/>
        <w:rPr>
          <w:rFonts w:hint="eastAsia" w:eastAsia="宋体" w:cs="宋体"/>
          <w:b/>
          <w:color w:val="000000" w:themeColor="text1"/>
          <w:sz w:val="24"/>
          <w:szCs w:val="24"/>
          <w:highlight w:val="none"/>
          <w14:textFill>
            <w14:solidFill>
              <w14:schemeClr w14:val="tx1"/>
            </w14:solidFill>
          </w14:textFill>
        </w:rPr>
      </w:pPr>
      <w:bookmarkStart w:id="79" w:name="_Toc22780"/>
      <w:r>
        <w:rPr>
          <w:rFonts w:hint="eastAsia" w:eastAsia="宋体" w:cs="宋体"/>
          <w:b/>
          <w:color w:val="000000" w:themeColor="text1"/>
          <w:sz w:val="24"/>
          <w:szCs w:val="24"/>
          <w:highlight w:val="none"/>
          <w14:textFill>
            <w14:solidFill>
              <w14:schemeClr w14:val="tx1"/>
            </w14:solidFill>
          </w14:textFill>
        </w:rPr>
        <w:t>三、资格证明文件</w:t>
      </w:r>
      <w:bookmarkEnd w:id="79"/>
    </w:p>
    <w:p>
      <w:pPr>
        <w:snapToGrid w:val="0"/>
        <w:spacing w:line="360" w:lineRule="auto"/>
        <w:ind w:firstLine="472"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b/>
          <w:color w:val="000000" w:themeColor="text1"/>
          <w:sz w:val="24"/>
          <w:szCs w:val="24"/>
          <w:highlight w:val="none"/>
          <w14:textFill>
            <w14:solidFill>
              <w14:schemeClr w14:val="tx1"/>
            </w14:solidFill>
          </w14:textFill>
        </w:rPr>
        <w:t>报价人应提供工商营业执照（副本）（加盖公章）的复印件，提供税务登记证及组织机构代码证复印件。报价人已提供加载有统一社会信用代码营业执照的，视为已提供税务登记证和组织机构代码证。</w:t>
      </w:r>
    </w:p>
    <w:p>
      <w:pPr>
        <w:pStyle w:val="6"/>
        <w:spacing w:line="360" w:lineRule="auto"/>
        <w:ind w:firstLine="482" w:firstLineChars="200"/>
        <w:rPr>
          <w:rFonts w:hint="eastAsia" w:hAnsi="宋体" w:eastAsia="宋体" w:cs="宋体"/>
          <w:b/>
          <w:color w:val="000000" w:themeColor="text1"/>
          <w:kern w:val="2"/>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cs="宋体"/>
          <w:b/>
          <w:color w:val="000000" w:themeColor="text1"/>
          <w:sz w:val="24"/>
          <w:szCs w:val="24"/>
          <w:highlight w:val="none"/>
          <w:lang w:val="en-US" w:eastAsia="zh-CN"/>
          <w14:textFill>
            <w14:solidFill>
              <w14:schemeClr w14:val="tx1"/>
            </w14:solidFill>
          </w14:textFill>
        </w:rPr>
        <w:t>3.2</w:t>
      </w:r>
      <w:r>
        <w:rPr>
          <w:rFonts w:hint="eastAsia" w:hAnsi="宋体" w:eastAsia="宋体" w:cs="宋体"/>
          <w:b/>
          <w:color w:val="000000" w:themeColor="text1"/>
          <w:sz w:val="24"/>
          <w:szCs w:val="24"/>
          <w:highlight w:val="none"/>
          <w14:textFill>
            <w14:solidFill>
              <w14:schemeClr w14:val="tx1"/>
            </w14:solidFill>
          </w14:textFill>
        </w:rPr>
        <w:t>报价人全权代表若不是单位负责人，应提供单位授权书原件，并提供被授权代表身份证复印件。</w:t>
      </w:r>
    </w:p>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Cs w:val="0"/>
          <w:color w:val="000000" w:themeColor="text1"/>
          <w:kern w:val="0"/>
          <w:sz w:val="24"/>
          <w:szCs w:val="24"/>
          <w:highlight w:val="none"/>
          <w14:textFill>
            <w14:solidFill>
              <w14:schemeClr w14:val="tx1"/>
            </w14:solidFill>
          </w14:textFill>
        </w:rPr>
      </w:pPr>
      <w:bookmarkStart w:id="80" w:name="_Toc14825"/>
      <w:r>
        <w:rPr>
          <w:rFonts w:hint="eastAsia" w:ascii="宋体" w:hAnsi="宋体" w:eastAsia="宋体" w:cs="宋体"/>
          <w:bCs w:val="0"/>
          <w:color w:val="000000" w:themeColor="text1"/>
          <w:kern w:val="0"/>
          <w:sz w:val="24"/>
          <w:szCs w:val="24"/>
          <w:highlight w:val="none"/>
          <w14:textFill>
            <w14:solidFill>
              <w14:schemeClr w14:val="tx1"/>
            </w14:solidFill>
          </w14:textFill>
        </w:rPr>
        <w:t>四、报价要求</w:t>
      </w:r>
      <w:bookmarkEnd w:id="80"/>
    </w:p>
    <w:p>
      <w:pPr>
        <w:spacing w:line="360" w:lineRule="auto"/>
        <w:ind w:firstLine="356" w:firstLineChars="153"/>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b/>
          <w:color w:val="000000" w:themeColor="text1"/>
          <w:spacing w:val="-4"/>
          <w:sz w:val="24"/>
          <w:szCs w:val="24"/>
          <w:highlight w:val="none"/>
          <w14:textFill>
            <w14:solidFill>
              <w14:schemeClr w14:val="tx1"/>
            </w14:solidFill>
          </w14:textFill>
        </w:rPr>
        <w:t>*</w:t>
      </w:r>
      <w:r>
        <w:rPr>
          <w:rFonts w:hint="eastAsia" w:ascii="宋体" w:hAnsi="宋体" w:cs="宋体"/>
          <w:b/>
          <w:color w:val="000000" w:themeColor="text1"/>
          <w:spacing w:val="-4"/>
          <w:sz w:val="24"/>
          <w:szCs w:val="24"/>
          <w:highlight w:val="none"/>
          <w:lang w:val="en-US" w:eastAsia="zh-CN"/>
          <w14:textFill>
            <w14:solidFill>
              <w14:schemeClr w14:val="tx1"/>
            </w14:solidFill>
          </w14:textFill>
        </w:rPr>
        <w:t>4.1</w:t>
      </w:r>
      <w:r>
        <w:rPr>
          <w:rFonts w:hint="eastAsia" w:ascii="宋体" w:hAnsi="宋体" w:cs="宋体"/>
          <w:b/>
          <w:color w:val="000000" w:themeColor="text1"/>
          <w:sz w:val="24"/>
          <w:szCs w:val="24"/>
          <w:highlight w:val="none"/>
          <w:lang w:eastAsia="zh-CN"/>
          <w14:textFill>
            <w14:solidFill>
              <w14:schemeClr w14:val="tx1"/>
            </w14:solidFill>
          </w14:textFill>
        </w:rPr>
        <w:t>本采购项目的采购预算为人民币12万元，采购预算为总报价的最高限价，任何一次总报价超过采购预算的属无效报价</w:t>
      </w:r>
      <w:r>
        <w:rPr>
          <w:rFonts w:hint="eastAsia" w:ascii="宋体" w:hAnsi="宋体" w:eastAsia="宋体" w:cs="宋体"/>
          <w:b/>
          <w:color w:val="000000" w:themeColor="text1"/>
          <w:spacing w:val="4"/>
          <w:sz w:val="24"/>
          <w:szCs w:val="24"/>
          <w:highlight w:val="none"/>
          <w14:textFill>
            <w14:solidFill>
              <w14:schemeClr w14:val="tx1"/>
            </w14:solidFill>
          </w14:textFill>
        </w:rPr>
        <w:t>。</w:t>
      </w:r>
    </w:p>
    <w:p>
      <w:pPr>
        <w:spacing w:line="360" w:lineRule="auto"/>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4.2</w:t>
      </w:r>
      <w:r>
        <w:rPr>
          <w:rFonts w:hint="eastAsia" w:ascii="宋体" w:hAnsi="宋体" w:eastAsia="宋体" w:cs="宋体"/>
          <w:color w:val="000000" w:themeColor="text1"/>
          <w:sz w:val="24"/>
          <w:szCs w:val="24"/>
          <w:highlight w:val="none"/>
          <w14:textFill>
            <w14:solidFill>
              <w14:schemeClr w14:val="tx1"/>
            </w14:solidFill>
          </w14:textFill>
        </w:rPr>
        <w:t>总报价为货物送达采购人指定地点，经采购人验收合格并交货完毕所有可能发生的费用，包括设备费、运输、保险费、采购保管、安装、调试、集成、产品检验检测、验收、操作人员培训、税金、</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以及售后服务等费用。</w:t>
      </w:r>
    </w:p>
    <w:p>
      <w:pPr>
        <w:spacing w:line="360" w:lineRule="auto"/>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4.3</w:t>
      </w:r>
      <w:r>
        <w:rPr>
          <w:rFonts w:hint="eastAsia" w:ascii="宋体" w:hAnsi="宋体" w:eastAsia="宋体" w:cs="宋体"/>
          <w:color w:val="000000" w:themeColor="text1"/>
          <w:sz w:val="24"/>
          <w:szCs w:val="24"/>
          <w:highlight w:val="none"/>
          <w14:textFill>
            <w14:solidFill>
              <w14:schemeClr w14:val="tx1"/>
            </w14:solidFill>
          </w14:textFill>
        </w:rPr>
        <w:t>报价文件中标明的价格在合同执行过程中是固定不变的，不得以任何理由予以变更。以可变动价格提交的报价将被认为是非实质响应而被拒绝。</w:t>
      </w:r>
    </w:p>
    <w:p>
      <w:pPr>
        <w:spacing w:line="360" w:lineRule="auto"/>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eastAsia="宋体" w:cs="宋体"/>
          <w:color w:val="000000" w:themeColor="text1"/>
          <w:sz w:val="24"/>
          <w:szCs w:val="24"/>
          <w:highlight w:val="none"/>
          <w14:textFill>
            <w14:solidFill>
              <w14:schemeClr w14:val="tx1"/>
            </w14:solidFill>
          </w14:textFill>
        </w:rPr>
        <w:t>报价人</w:t>
      </w:r>
      <w:r>
        <w:rPr>
          <w:rFonts w:hint="eastAsia" w:ascii="宋体" w:hAnsi="宋体" w:eastAsia="宋体" w:cs="宋体"/>
          <w:color w:val="000000" w:themeColor="text1"/>
          <w:spacing w:val="-4"/>
          <w:sz w:val="24"/>
          <w:szCs w:val="24"/>
          <w:highlight w:val="none"/>
          <w14:textFill>
            <w14:solidFill>
              <w14:schemeClr w14:val="tx1"/>
            </w14:solidFill>
          </w14:textFill>
        </w:rPr>
        <w:t>对每一种货物只能有一个报价，采购单位不接受有选择的报价</w:t>
      </w:r>
      <w:r>
        <w:rPr>
          <w:rFonts w:hint="eastAsia" w:ascii="宋体" w:hAnsi="宋体" w:eastAsia="宋体" w:cs="宋体"/>
          <w:color w:val="000000" w:themeColor="text1"/>
          <w:sz w:val="24"/>
          <w:szCs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bookmarkStart w:id="81" w:name="_Toc27447"/>
      <w:r>
        <w:rPr>
          <w:rFonts w:hint="eastAsia" w:ascii="宋体" w:hAnsi="宋体" w:eastAsia="宋体" w:cs="宋体"/>
          <w:color w:val="000000" w:themeColor="text1"/>
          <w:sz w:val="24"/>
          <w:szCs w:val="24"/>
          <w:highlight w:val="none"/>
          <w14:textFill>
            <w14:solidFill>
              <w14:schemeClr w14:val="tx1"/>
            </w14:solidFill>
          </w14:textFill>
        </w:rPr>
        <w:t>五、</w:t>
      </w:r>
      <w:r>
        <w:rPr>
          <w:rFonts w:hint="eastAsia" w:ascii="宋体" w:hAnsi="宋体" w:eastAsia="宋体" w:cs="宋体"/>
          <w:color w:val="000000" w:themeColor="text1"/>
          <w:sz w:val="24"/>
          <w:szCs w:val="24"/>
          <w:highlight w:val="none"/>
          <w:lang w:val="en-US" w:eastAsia="zh-CN"/>
          <w14:textFill>
            <w14:solidFill>
              <w14:schemeClr w14:val="tx1"/>
            </w14:solidFill>
          </w14:textFill>
        </w:rPr>
        <w:t>商务要求</w:t>
      </w:r>
      <w:bookmarkEnd w:id="81"/>
    </w:p>
    <w:p>
      <w:pPr>
        <w:pStyle w:val="7"/>
        <w:spacing w:after="0" w:line="360" w:lineRule="auto"/>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.1交货期：</w:t>
      </w:r>
      <w:r>
        <w:rPr>
          <w:rFonts w:hint="eastAsia" w:ascii="宋体" w:hAnsi="宋体"/>
          <w:bCs/>
          <w:color w:val="000000" w:themeColor="text1"/>
          <w:kern w:val="0"/>
          <w:sz w:val="24"/>
          <w:highlight w:val="none"/>
          <w14:textFill>
            <w14:solidFill>
              <w14:schemeClr w14:val="tx1"/>
            </w14:solidFill>
          </w14:textFill>
        </w:rPr>
        <w:t>合同签订后</w:t>
      </w:r>
      <w:r>
        <w:rPr>
          <w:rFonts w:hint="eastAsia" w:ascii="宋体" w:hAnsi="宋体"/>
          <w:bCs/>
          <w:color w:val="000000" w:themeColor="text1"/>
          <w:kern w:val="0"/>
          <w:sz w:val="24"/>
          <w:highlight w:val="none"/>
          <w:lang w:val="en-US" w:eastAsia="zh-CN"/>
          <w14:textFill>
            <w14:solidFill>
              <w14:schemeClr w14:val="tx1"/>
            </w14:solidFill>
          </w14:textFill>
        </w:rPr>
        <w:t>6</w:t>
      </w:r>
      <w:r>
        <w:rPr>
          <w:rFonts w:hint="eastAsia" w:ascii="宋体" w:hAnsi="宋体"/>
          <w:bCs/>
          <w:color w:val="000000" w:themeColor="text1"/>
          <w:kern w:val="0"/>
          <w:sz w:val="24"/>
          <w:highlight w:val="none"/>
          <w14:textFill>
            <w14:solidFill>
              <w14:schemeClr w14:val="tx1"/>
            </w14:solidFill>
          </w14:textFill>
        </w:rPr>
        <w:t>0日历日内交货并安装、调试完成</w:t>
      </w:r>
      <w:r>
        <w:rPr>
          <w:rFonts w:hint="eastAsia" w:ascii="宋体" w:hAnsi="宋体"/>
          <w:bCs/>
          <w:color w:val="000000" w:themeColor="text1"/>
          <w:kern w:val="0"/>
          <w:sz w:val="24"/>
          <w:highlight w:val="none"/>
          <w:lang w:eastAsia="zh-CN"/>
          <w14:textFill>
            <w14:solidFill>
              <w14:schemeClr w14:val="tx1"/>
            </w14:solidFill>
          </w14:textFill>
        </w:rPr>
        <w:t>。</w:t>
      </w:r>
    </w:p>
    <w:p>
      <w:pPr>
        <w:pStyle w:val="7"/>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.2交货地点：厦门市行政区域内采购人指定地点。</w:t>
      </w:r>
    </w:p>
    <w:p>
      <w:pPr>
        <w:pStyle w:val="7"/>
        <w:spacing w:after="0" w:line="360" w:lineRule="auto"/>
        <w:ind w:left="0" w:leftChars="0"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5.3是否收取履约保证金：是，合同签订后货物验收前，成交供应商向采购人转账合同金额3％作为履约保证金，待质保期满后向成交供应商一次性退还履约保证金（应扣除违约金）。双方根据合同约定方式付款。</w:t>
      </w:r>
    </w:p>
    <w:p>
      <w:pPr>
        <w:pStyle w:val="24"/>
        <w:numPr>
          <w:ilvl w:val="0"/>
          <w:numId w:val="0"/>
        </w:numPr>
        <w:tabs>
          <w:tab w:val="left" w:pos="993"/>
        </w:tabs>
        <w:spacing w:line="360" w:lineRule="auto"/>
        <w:ind w:left="425" w:leftChars="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5.4</w:t>
      </w:r>
      <w:r>
        <w:rPr>
          <w:rFonts w:ascii="宋体" w:hAnsi="宋体"/>
          <w:color w:val="000000" w:themeColor="text1"/>
          <w:sz w:val="24"/>
          <w:szCs w:val="28"/>
          <w:highlight w:val="none"/>
          <w14:textFill>
            <w14:solidFill>
              <w14:schemeClr w14:val="tx1"/>
            </w14:solidFill>
          </w14:textFill>
        </w:rPr>
        <w:t>验收方式</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4420"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验收说明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在由成交供应商将设备送达指定地点后，成交供应商应在7天内派工程技术人员到达现场，在采购人技术人员在场的情况下开箱清点货物，组织安装、调试，并承担因此发生的一切费用。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合同设备到达交货地点且成交供应商完成安装、调试工作后</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合同设备由采购人验收并以采购人的验收意见为准。合同设备安装调试及实验验证后经采购人验收合格视为最终验收合格。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合同设备验收时，由采购人和成交供应商共同签署验收报告。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成交供应商应派代表参与验收过程，成交供应商未派代表参与或对验收意见有异议但未在验收完成后3个工作日内书面提出的，视为成交供应商对验收意见无异议。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最终验收合格后，成交供应商应在采购人要求的时间内直接交付采购人使用。合同设备验收合格并交付使用前由成交供应商负责保管，合同设备的毁损或灭失风险由成交供应商承担。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采购人根据本合同约定提出换货、退货或解除合同的，成交供应商应在收到采购人通知后3个工作日内自行收回不符合合同约定的设备，并承担相应费用。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c>
          <w:tcPr>
            <w:tcW w:w="4420" w:type="pct"/>
            <w:vAlign w:val="center"/>
          </w:tcPr>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验收标准：</w:t>
            </w:r>
          </w:p>
          <w:p>
            <w:pPr>
              <w:widowControl/>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1、根据技术参数逐条验收。</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提供安装时，由厂家工程师现场进行一次最小称量值的校准服务，保证客户使用要求（小于20mg）。</w:t>
            </w:r>
          </w:p>
        </w:tc>
      </w:tr>
    </w:tbl>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p>
    <w:p>
      <w:pPr>
        <w:pStyle w:val="24"/>
        <w:numPr>
          <w:ilvl w:val="0"/>
          <w:numId w:val="0"/>
        </w:numPr>
        <w:tabs>
          <w:tab w:val="left" w:pos="993"/>
        </w:tabs>
        <w:spacing w:line="360" w:lineRule="auto"/>
        <w:ind w:left="425" w:leftChars="0"/>
        <w:rPr>
          <w:rFonts w:ascii="宋体" w:hAnsi="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5.5</w:t>
      </w:r>
      <w:r>
        <w:rPr>
          <w:rFonts w:ascii="宋体" w:hAnsi="宋体"/>
          <w:color w:val="000000" w:themeColor="text1"/>
          <w:sz w:val="24"/>
          <w:szCs w:val="28"/>
          <w:highlight w:val="none"/>
          <w14:textFill>
            <w14:solidFill>
              <w14:schemeClr w14:val="tx1"/>
            </w14:solidFill>
          </w14:textFill>
        </w:rPr>
        <w:t>支付方式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5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支付期次</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支付比例</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tc>
        <w:tc>
          <w:tcPr>
            <w:tcW w:w="3001"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w:t>
            </w:r>
          </w:p>
        </w:tc>
        <w:tc>
          <w:tcPr>
            <w:tcW w:w="5121" w:type="dxa"/>
            <w:vAlign w:val="center"/>
          </w:tcPr>
          <w:p>
            <w:pPr>
              <w:widowControl/>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合同签订后，采购人在收到成交供应商开具的税务部门监制的正式发票后的7个工作日内，预付30%设备款。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70</w:t>
            </w:r>
          </w:p>
        </w:tc>
        <w:tc>
          <w:tcPr>
            <w:tcW w:w="5121" w:type="dxa"/>
            <w:vAlign w:val="center"/>
          </w:tcPr>
          <w:p>
            <w:pPr>
              <w:widowControl/>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合同货物最终验收合格并交付使用后，采购人在收到成交供应商开具的税务部门监制的正式发票后向成交供应商支付70％设备款。</w:t>
            </w:r>
          </w:p>
        </w:tc>
      </w:tr>
    </w:tbl>
    <w:p>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82" w:name="_Toc9022"/>
      <w:r>
        <w:rPr>
          <w:rFonts w:hint="eastAsia" w:ascii="宋体" w:hAnsi="宋体" w:eastAsia="宋体" w:cs="宋体"/>
          <w:color w:val="000000" w:themeColor="text1"/>
          <w:sz w:val="24"/>
          <w:szCs w:val="24"/>
          <w:highlight w:val="none"/>
          <w14:textFill>
            <w14:solidFill>
              <w14:schemeClr w14:val="tx1"/>
            </w14:solidFill>
          </w14:textFill>
        </w:rPr>
        <w:t>六、售后服务要求</w:t>
      </w:r>
      <w:bookmarkEnd w:id="82"/>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eastAsia="宋体" w:cs="宋体"/>
          <w:color w:val="000000" w:themeColor="text1"/>
          <w:sz w:val="24"/>
          <w:szCs w:val="24"/>
          <w:highlight w:val="none"/>
          <w:lang w:val="en-US" w:eastAsia="zh-CN"/>
          <w14:textFill>
            <w14:solidFill>
              <w14:schemeClr w14:val="tx1"/>
            </w14:solidFill>
          </w14:textFill>
        </w:rPr>
        <w:t>质量保证期为从最终用户验收之日（安装调试合格后）起24个月。质保期内凡非买方人为因素，造成仪器或系统故障及损坏，软硬件问题等，需要更换的零部件（消耗品除外）以及人力资源服务由卖方免费提供。卖方承诺接到报修后4小时以内给予响应，并在2个工作日内到达最终用户现场，排除故障，保证设备的正常使用。</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w:t>
      </w:r>
      <w:r>
        <w:rPr>
          <w:rFonts w:hint="eastAsia" w:ascii="宋体" w:hAnsi="宋体" w:eastAsia="宋体" w:cs="宋体"/>
          <w:color w:val="000000" w:themeColor="text1"/>
          <w:sz w:val="24"/>
          <w:szCs w:val="24"/>
          <w:highlight w:val="none"/>
          <w:lang w:val="en-US" w:eastAsia="zh-CN"/>
          <w14:textFill>
            <w14:solidFill>
              <w14:schemeClr w14:val="tx1"/>
            </w14:solidFill>
          </w14:textFill>
        </w:rPr>
        <w:t>免费质保期内，买方必须全部使用卖方提供的原厂备品、备件、消耗品。质保期内，如遇公司软件升级, 制造商为用户免费进行软件的升级。</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设备质保期后制造商能对设备提供终身优惠的技术支持。制造商的技术人员，一年至少回访用户1～2 次（形式可采取现场、电话等）。</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6.4</w:t>
      </w:r>
      <w:r>
        <w:rPr>
          <w:rFonts w:hint="eastAsia" w:ascii="宋体" w:hAnsi="宋体" w:eastAsia="宋体" w:cs="宋体"/>
          <w:color w:val="000000" w:themeColor="text1"/>
          <w:sz w:val="24"/>
          <w:szCs w:val="24"/>
          <w:highlight w:val="none"/>
          <w:lang w:val="en-US" w:eastAsia="zh-CN"/>
          <w14:textFill>
            <w14:solidFill>
              <w14:schemeClr w14:val="tx1"/>
            </w14:solidFill>
          </w14:textFill>
        </w:rPr>
        <w:t>卖方保证所提供产品的先进性、可靠性和完整性。卖方须保证仪器零部件的长期供应并保证主要零部件的库存，以确保买方仪器维修得到及时的零部件的供应。</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6.5</w:t>
      </w:r>
      <w:r>
        <w:rPr>
          <w:rFonts w:hint="eastAsia" w:ascii="宋体" w:hAnsi="宋体" w:eastAsia="宋体" w:cs="宋体"/>
          <w:color w:val="000000" w:themeColor="text1"/>
          <w:sz w:val="24"/>
          <w:szCs w:val="24"/>
          <w:highlight w:val="none"/>
          <w:lang w:val="en-US" w:eastAsia="zh-CN"/>
          <w14:textFill>
            <w14:solidFill>
              <w14:schemeClr w14:val="tx1"/>
            </w14:solidFill>
          </w14:textFill>
        </w:rPr>
        <w:t>卖方对仪器提供永久的技术支持和的优良的售后服务，并定期进行技术回访。同时承诺接到报修后4小时以电话、邮件等方式答复指导，如需现场服务，应在2个工作日内到达买方现场，排除故障，保证设备的正常使用。</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6.6</w:t>
      </w:r>
      <w:r>
        <w:rPr>
          <w:rFonts w:hint="eastAsia" w:ascii="宋体" w:hAnsi="宋体" w:eastAsia="宋体" w:cs="宋体"/>
          <w:color w:val="000000" w:themeColor="text1"/>
          <w:sz w:val="24"/>
          <w:szCs w:val="24"/>
          <w:highlight w:val="none"/>
          <w:lang w:val="en-US" w:eastAsia="zh-CN"/>
          <w14:textFill>
            <w14:solidFill>
              <w14:schemeClr w14:val="tx1"/>
            </w14:solidFill>
          </w14:textFill>
        </w:rPr>
        <w:t>卖方提供仪器使用寿命内的备品备件支持，及软件技术升级支持。</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6.7</w:t>
      </w:r>
      <w:r>
        <w:rPr>
          <w:rFonts w:hint="eastAsia" w:ascii="宋体" w:hAnsi="宋体" w:eastAsia="宋体" w:cs="宋体"/>
          <w:color w:val="000000" w:themeColor="text1"/>
          <w:sz w:val="24"/>
          <w:szCs w:val="24"/>
          <w:highlight w:val="none"/>
          <w:lang w:val="en-US" w:eastAsia="zh-CN"/>
          <w14:textFill>
            <w14:solidFill>
              <w14:schemeClr w14:val="tx1"/>
            </w14:solidFill>
          </w14:textFill>
        </w:rPr>
        <w:t>买方所在地实验室培训，在安装调试期间，卖方应安排制造商技术服务工程师在买方现场进行技术指导和培训，包括仪器构造、工作原理、设备操作使用、日常维护保养方面的内容，以买方操作人员能够独立使用设备分析、会进行维护保养为止。</w:t>
      </w:r>
    </w:p>
    <w:p>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6.8</w:t>
      </w:r>
      <w:r>
        <w:rPr>
          <w:rFonts w:hint="eastAsia" w:ascii="宋体" w:hAnsi="宋体" w:eastAsia="宋体" w:cs="宋体"/>
          <w:color w:val="000000" w:themeColor="text1"/>
          <w:sz w:val="24"/>
          <w:szCs w:val="24"/>
          <w:highlight w:val="none"/>
          <w:lang w:val="en-US" w:eastAsia="zh-CN"/>
          <w14:textFill>
            <w14:solidFill>
              <w14:schemeClr w14:val="tx1"/>
            </w14:solidFill>
          </w14:textFill>
        </w:rPr>
        <w:t>买方在平时正常的使用中，对仪器的使用保养有疑问，卖方需及时安排人员以现场或者电话方式进行技术指导和培训，以完全解决买方的使用问题为止。</w:t>
      </w:r>
    </w:p>
    <w:p>
      <w:pPr>
        <w:tabs>
          <w:tab w:val="left" w:pos="513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83" w:name="_Toc32449"/>
      <w:r>
        <w:rPr>
          <w:rFonts w:hint="eastAsia" w:ascii="宋体" w:hAnsi="宋体" w:eastAsia="宋体" w:cs="宋体"/>
          <w:b/>
          <w:bCs/>
          <w:color w:val="000000" w:themeColor="text1"/>
          <w:sz w:val="32"/>
          <w:szCs w:val="32"/>
          <w:highlight w:val="none"/>
          <w14:textFill>
            <w14:solidFill>
              <w14:schemeClr w14:val="tx1"/>
            </w14:solidFill>
          </w14:textFill>
        </w:rPr>
        <w:t xml:space="preserve">第四章  </w:t>
      </w:r>
      <w:r>
        <w:rPr>
          <w:rFonts w:hint="eastAsia" w:ascii="宋体" w:hAnsi="宋体" w:eastAsia="宋体" w:cs="宋体"/>
          <w:b/>
          <w:color w:val="000000" w:themeColor="text1"/>
          <w:sz w:val="32"/>
          <w:szCs w:val="32"/>
          <w:highlight w:val="none"/>
          <w14:textFill>
            <w14:solidFill>
              <w14:schemeClr w14:val="tx1"/>
            </w14:solidFill>
          </w14:textFill>
        </w:rPr>
        <w:t>采购合同（参考文本）</w:t>
      </w:r>
      <w:bookmarkEnd w:id="83"/>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合同号：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签订地点：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乙方（成交供应商）：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签订日期：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根据甲方委托</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进行采购（项目编号：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eastAsia="宋体" w:cs="宋体"/>
          <w:color w:val="000000" w:themeColor="text1"/>
          <w:sz w:val="24"/>
          <w:szCs w:val="24"/>
          <w:highlight w:val="none"/>
          <w:u w:val="single"/>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磋商报价文件及有关法律、法规、规章规定的内容，双方达成如下协议：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1.合同标物的和合同价格</w:t>
      </w:r>
    </w:p>
    <w:tbl>
      <w:tblPr>
        <w:tblStyle w:val="13"/>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236"/>
        <w:gridCol w:w="875"/>
        <w:gridCol w:w="1325"/>
        <w:gridCol w:w="10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产品名称</w:t>
            </w:r>
          </w:p>
        </w:tc>
        <w:tc>
          <w:tcPr>
            <w:tcW w:w="166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规格型号</w:t>
            </w:r>
          </w:p>
        </w:tc>
        <w:tc>
          <w:tcPr>
            <w:tcW w:w="1236"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生产厂家</w:t>
            </w:r>
          </w:p>
        </w:tc>
        <w:tc>
          <w:tcPr>
            <w:tcW w:w="875"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 量</w:t>
            </w:r>
          </w:p>
        </w:tc>
        <w:tc>
          <w:tcPr>
            <w:tcW w:w="1325"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单 价</w:t>
            </w:r>
          </w:p>
        </w:tc>
        <w:tc>
          <w:tcPr>
            <w:tcW w:w="1012"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总 价</w:t>
            </w:r>
          </w:p>
        </w:tc>
        <w:tc>
          <w:tcPr>
            <w:tcW w:w="838" w:type="dxa"/>
            <w:noWrap w:val="0"/>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2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2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2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7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25"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2"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8" w:type="dxa"/>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2.交货方式和交货地点</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2.1交货方式：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2.2交货地点：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84" w:name="_Toc4711"/>
      <w:r>
        <w:rPr>
          <w:rFonts w:hint="eastAsia" w:ascii="宋体" w:hAnsi="宋体" w:eastAsia="宋体" w:cs="宋体"/>
          <w:color w:val="000000" w:themeColor="text1"/>
          <w:sz w:val="24"/>
          <w:szCs w:val="24"/>
          <w:highlight w:val="none"/>
          <w14:textFill>
            <w14:solidFill>
              <w14:schemeClr w14:val="tx1"/>
            </w14:solidFill>
          </w14:textFill>
        </w:rPr>
        <w:t>3.供货清单</w:t>
      </w:r>
      <w:bookmarkEnd w:id="84"/>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3.1供货清单：包括产品主机、随机备品备件、专用工具的名称及数量。（采购人对包装及运输有特别要求的，应作具体约定。）</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85" w:name="_Toc9875"/>
      <w:r>
        <w:rPr>
          <w:rFonts w:hint="eastAsia" w:ascii="宋体" w:hAnsi="宋体" w:eastAsia="宋体" w:cs="宋体"/>
          <w:color w:val="000000" w:themeColor="text1"/>
          <w:sz w:val="24"/>
          <w:szCs w:val="24"/>
          <w:highlight w:val="none"/>
          <w14:textFill>
            <w14:solidFill>
              <w14:schemeClr w14:val="tx1"/>
            </w14:solidFill>
          </w14:textFill>
        </w:rPr>
        <w:t>4.付款方式与条件</w:t>
      </w:r>
      <w:bookmarkEnd w:id="85"/>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bookmarkStart w:id="86" w:name="_Toc22741"/>
      <w:r>
        <w:rPr>
          <w:rFonts w:hint="eastAsia" w:ascii="宋体" w:hAnsi="宋体" w:cs="宋体"/>
          <w:color w:val="000000" w:themeColor="text1"/>
          <w:sz w:val="24"/>
          <w:szCs w:val="24"/>
          <w:highlight w:val="none"/>
          <w:lang w:val="en-US" w:eastAsia="zh-CN"/>
          <w14:textFill>
            <w14:solidFill>
              <w14:schemeClr w14:val="tx1"/>
            </w14:solidFill>
          </w14:textFill>
        </w:rPr>
        <w:t>4.1</w:t>
      </w:r>
      <w:r>
        <w:rPr>
          <w:rFonts w:hint="eastAsia" w:ascii="宋体" w:hAnsi="宋体" w:cs="宋体"/>
          <w:color w:val="000000" w:themeColor="text1"/>
          <w:kern w:val="0"/>
          <w:sz w:val="24"/>
          <w:highlight w:val="none"/>
          <w14:textFill>
            <w14:solidFill>
              <w14:schemeClr w14:val="tx1"/>
            </w14:solidFill>
          </w14:textFill>
        </w:rPr>
        <w:t>合同签订后，</w:t>
      </w:r>
      <w:r>
        <w:rPr>
          <w:rFonts w:hint="eastAsia" w:ascii="宋体" w:hAnsi="宋体" w:cs="宋体"/>
          <w:color w:val="000000" w:themeColor="text1"/>
          <w:kern w:val="0"/>
          <w:sz w:val="24"/>
          <w:highlight w:val="none"/>
          <w:lang w:val="en-US" w:eastAsia="zh-CN"/>
          <w14:textFill>
            <w14:solidFill>
              <w14:schemeClr w14:val="tx1"/>
            </w14:solidFill>
          </w14:textFill>
        </w:rPr>
        <w:t>甲方</w:t>
      </w:r>
      <w:r>
        <w:rPr>
          <w:rFonts w:hint="eastAsia" w:ascii="宋体" w:hAnsi="宋体" w:cs="宋体"/>
          <w:color w:val="000000" w:themeColor="text1"/>
          <w:kern w:val="0"/>
          <w:sz w:val="24"/>
          <w:highlight w:val="none"/>
          <w14:textFill>
            <w14:solidFill>
              <w14:schemeClr w14:val="tx1"/>
            </w14:solidFill>
          </w14:textFill>
        </w:rPr>
        <w:t>在收到</w:t>
      </w:r>
      <w:r>
        <w:rPr>
          <w:rFonts w:hint="eastAsia" w:ascii="宋体" w:hAnsi="宋体" w:cs="宋体"/>
          <w:color w:val="000000" w:themeColor="text1"/>
          <w:kern w:val="0"/>
          <w:sz w:val="24"/>
          <w:highlight w:val="none"/>
          <w:lang w:val="en-US" w:eastAsia="zh-CN"/>
          <w14:textFill>
            <w14:solidFill>
              <w14:schemeClr w14:val="tx1"/>
            </w14:solidFill>
          </w14:textFill>
        </w:rPr>
        <w:t>乙方</w:t>
      </w:r>
      <w:r>
        <w:rPr>
          <w:rFonts w:hint="eastAsia" w:ascii="宋体" w:hAnsi="宋体" w:cs="宋体"/>
          <w:color w:val="000000" w:themeColor="text1"/>
          <w:kern w:val="0"/>
          <w:sz w:val="24"/>
          <w:highlight w:val="none"/>
          <w14:textFill>
            <w14:solidFill>
              <w14:schemeClr w14:val="tx1"/>
            </w14:solidFill>
          </w14:textFill>
        </w:rPr>
        <w:t>开具的税务部门监制的正式发票后的7个工作日内，预付</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14:textFill>
            <w14:solidFill>
              <w14:schemeClr w14:val="tx1"/>
            </w14:solidFill>
          </w14:textFill>
        </w:rPr>
        <w:t>%设备款。</w:t>
      </w:r>
    </w:p>
    <w:p>
      <w:pPr>
        <w:numPr>
          <w:ilvl w:val="-1"/>
          <w:numId w:val="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4.2</w:t>
      </w:r>
      <w:r>
        <w:rPr>
          <w:rFonts w:hint="eastAsia" w:ascii="宋体" w:hAnsi="宋体" w:cs="宋体"/>
          <w:color w:val="000000" w:themeColor="text1"/>
          <w:kern w:val="0"/>
          <w:sz w:val="24"/>
          <w:highlight w:val="none"/>
          <w14:textFill>
            <w14:solidFill>
              <w14:schemeClr w14:val="tx1"/>
            </w14:solidFill>
          </w14:textFill>
        </w:rPr>
        <w:t>合同货物最终验收合格并交付使用后，</w:t>
      </w:r>
      <w:r>
        <w:rPr>
          <w:rFonts w:hint="eastAsia" w:ascii="宋体" w:hAnsi="宋体" w:cs="宋体"/>
          <w:color w:val="000000" w:themeColor="text1"/>
          <w:kern w:val="0"/>
          <w:sz w:val="24"/>
          <w:highlight w:val="none"/>
          <w:lang w:val="en-US" w:eastAsia="zh-CN"/>
          <w14:textFill>
            <w14:solidFill>
              <w14:schemeClr w14:val="tx1"/>
            </w14:solidFill>
          </w14:textFill>
        </w:rPr>
        <w:t>甲方</w:t>
      </w:r>
      <w:r>
        <w:rPr>
          <w:rFonts w:hint="eastAsia" w:ascii="宋体" w:hAnsi="宋体" w:cs="宋体"/>
          <w:color w:val="000000" w:themeColor="text1"/>
          <w:kern w:val="0"/>
          <w:sz w:val="24"/>
          <w:highlight w:val="none"/>
          <w14:textFill>
            <w14:solidFill>
              <w14:schemeClr w14:val="tx1"/>
            </w14:solidFill>
          </w14:textFill>
        </w:rPr>
        <w:t>在收到</w:t>
      </w:r>
      <w:r>
        <w:rPr>
          <w:rFonts w:hint="eastAsia" w:ascii="宋体" w:hAnsi="宋体" w:cs="宋体"/>
          <w:color w:val="000000" w:themeColor="text1"/>
          <w:kern w:val="0"/>
          <w:sz w:val="24"/>
          <w:highlight w:val="none"/>
          <w:lang w:val="en-US" w:eastAsia="zh-CN"/>
          <w14:textFill>
            <w14:solidFill>
              <w14:schemeClr w14:val="tx1"/>
            </w14:solidFill>
          </w14:textFill>
        </w:rPr>
        <w:t>乙方</w:t>
      </w:r>
      <w:r>
        <w:rPr>
          <w:rFonts w:hint="eastAsia" w:ascii="宋体" w:hAnsi="宋体" w:cs="宋体"/>
          <w:color w:val="000000" w:themeColor="text1"/>
          <w:kern w:val="0"/>
          <w:sz w:val="24"/>
          <w:highlight w:val="none"/>
          <w14:textFill>
            <w14:solidFill>
              <w14:schemeClr w14:val="tx1"/>
            </w14:solidFill>
          </w14:textFill>
        </w:rPr>
        <w:t>开具的税务部门监制的正式发票后向成交供应商支付</w:t>
      </w:r>
      <w:r>
        <w:rPr>
          <w:rFonts w:hint="eastAsia" w:ascii="宋体" w:hAnsi="宋体" w:cs="宋体"/>
          <w:color w:val="000000" w:themeColor="text1"/>
          <w:kern w:val="0"/>
          <w:sz w:val="24"/>
          <w:highlight w:val="none"/>
          <w:u w:val="single"/>
          <w:lang w:val="en-US" w:eastAsia="zh-CN"/>
          <w14:textFill>
            <w14:solidFill>
              <w14:schemeClr w14:val="tx1"/>
            </w14:solidFill>
          </w14:textFill>
        </w:rPr>
        <w:t>70</w:t>
      </w:r>
      <w:r>
        <w:rPr>
          <w:rFonts w:hint="eastAsia" w:ascii="宋体" w:hAnsi="宋体" w:cs="宋体"/>
          <w:color w:val="000000" w:themeColor="text1"/>
          <w:kern w:val="0"/>
          <w:sz w:val="24"/>
          <w:highlight w:val="none"/>
          <w14:textFill>
            <w14:solidFill>
              <w14:schemeClr w14:val="tx1"/>
            </w14:solidFill>
          </w14:textFill>
        </w:rPr>
        <w:t>％设备款。</w:t>
      </w:r>
    </w:p>
    <w:p>
      <w:pPr>
        <w:numPr>
          <w:ilvl w:val="-1"/>
          <w:numId w:val="0"/>
        </w:numPr>
        <w:spacing w:line="360" w:lineRule="auto"/>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4.3合同签订后货物验收前，乙方向甲方转账合同金额3％作为履约保证金，待质保期满后向成交供应商一次性退还履约保证金（应扣除违约金）</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cs="宋体"/>
          <w:color w:val="000000" w:themeColor="text1"/>
          <w:sz w:val="24"/>
          <w:szCs w:val="24"/>
          <w:highlight w:val="none"/>
          <w14:textFill>
            <w14:solidFill>
              <w14:schemeClr w14:val="tx1"/>
            </w14:solidFill>
          </w14:textFill>
        </w:rPr>
        <w:t>现场交货条件下，乙方要求付款应提交下列单证和文件。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a.金额为有关合同货物价格</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%的正式发票。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b.制造厂家出具的货物质量合格证书。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c.甲方已收讫货物的验收凭证。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d.甲方签发的验收合格文件。</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5.质量要求和技术标准</w:t>
      </w:r>
      <w:bookmarkEnd w:id="86"/>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质量条款可细分为产品质量、包装质量、技术资料质量等内容。</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（质量要求和技术标准应按采购文件要求填列。）</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87" w:name="_Toc17522"/>
      <w:r>
        <w:rPr>
          <w:rFonts w:hint="eastAsia" w:ascii="宋体" w:hAnsi="宋体" w:eastAsia="宋体" w:cs="宋体"/>
          <w:color w:val="000000" w:themeColor="text1"/>
          <w:sz w:val="24"/>
          <w:szCs w:val="24"/>
          <w:highlight w:val="none"/>
          <w14:textFill>
            <w14:solidFill>
              <w14:schemeClr w14:val="tx1"/>
            </w14:solidFill>
          </w14:textFill>
        </w:rPr>
        <w:t>6.安装调试、技术服务、人员培训及技术资料</w:t>
      </w:r>
      <w:bookmarkEnd w:id="87"/>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（安装调试、技术服务、人员培训及技术资料应按采购文件要求填列。）</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88" w:name="_Toc20063"/>
      <w:r>
        <w:rPr>
          <w:rFonts w:hint="eastAsia" w:ascii="宋体" w:hAnsi="宋体" w:eastAsia="宋体" w:cs="宋体"/>
          <w:color w:val="000000" w:themeColor="text1"/>
          <w:sz w:val="24"/>
          <w:szCs w:val="24"/>
          <w:highlight w:val="none"/>
          <w14:textFill>
            <w14:solidFill>
              <w14:schemeClr w14:val="tx1"/>
            </w14:solidFill>
          </w14:textFill>
        </w:rPr>
        <w:t>7.验收</w:t>
      </w:r>
      <w:bookmarkEnd w:id="88"/>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（货物验收标准和方法应按采购文件要求填列。）验收结果经双方确认后，双方代表必须按规定的验收交接单上的项目对照本合同填好验收结果并签名盖章。</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验收可细分为到货时的外在质量的验收，投产前的质量验收，大型设备可能还存在更多的验收步骤和验收方式，采购人可在采购文件中细化规定。</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89" w:name="_Toc3711"/>
      <w:r>
        <w:rPr>
          <w:rFonts w:hint="eastAsia" w:ascii="宋体" w:hAnsi="宋体" w:eastAsia="宋体" w:cs="宋体"/>
          <w:color w:val="000000" w:themeColor="text1"/>
          <w:sz w:val="24"/>
          <w:szCs w:val="24"/>
          <w:highlight w:val="none"/>
          <w14:textFill>
            <w14:solidFill>
              <w14:schemeClr w14:val="tx1"/>
            </w14:solidFill>
          </w14:textFill>
        </w:rPr>
        <w:t>8.质量保证</w:t>
      </w:r>
      <w:bookmarkEnd w:id="89"/>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各合同包货物质保期要求均为货物经最终验收合格后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个月，在质量保证期内设备运行发生故障时，乙方在接到甲方故障通知后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无法排除故障，则应先提供同档次备用机供甲方使用。其中发生一切费用由乙方承担。质量保证期内乙方有责任对设备进行不定期的巡查检修。成交供应商视自身能力在磋商报价文件中提供更优、更合理的维修服务承诺。</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90" w:name="_Toc10204"/>
      <w:r>
        <w:rPr>
          <w:rFonts w:hint="eastAsia" w:ascii="宋体" w:hAnsi="宋体" w:eastAsia="宋体" w:cs="宋体"/>
          <w:color w:val="000000" w:themeColor="text1"/>
          <w:sz w:val="24"/>
          <w:szCs w:val="24"/>
          <w:highlight w:val="none"/>
          <w14:textFill>
            <w14:solidFill>
              <w14:schemeClr w14:val="tx1"/>
            </w14:solidFill>
          </w14:textFill>
        </w:rPr>
        <w:t>9.知识产权：</w:t>
      </w:r>
      <w:bookmarkEnd w:id="90"/>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91" w:name="_Toc13371"/>
      <w:r>
        <w:rPr>
          <w:rFonts w:hint="eastAsia" w:ascii="宋体" w:hAnsi="宋体" w:eastAsia="宋体" w:cs="宋体"/>
          <w:color w:val="000000" w:themeColor="text1"/>
          <w:sz w:val="24"/>
          <w:szCs w:val="24"/>
          <w:highlight w:val="none"/>
          <w14:textFill>
            <w14:solidFill>
              <w14:schemeClr w14:val="tx1"/>
            </w14:solidFill>
          </w14:textFill>
        </w:rPr>
        <w:t>10.违约责任</w:t>
      </w:r>
      <w:bookmarkEnd w:id="91"/>
    </w:p>
    <w:p>
      <w:pPr>
        <w:spacing w:line="360" w:lineRule="auto"/>
        <w:ind w:firstLine="480" w:firstLineChars="200"/>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10.1未按期交货的违约责任：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92" w:name="_Toc5289"/>
      <w:r>
        <w:rPr>
          <w:rFonts w:hint="eastAsia" w:ascii="宋体" w:hAnsi="宋体" w:eastAsia="宋体" w:cs="宋体"/>
          <w:color w:val="000000" w:themeColor="text1"/>
          <w:sz w:val="24"/>
          <w:szCs w:val="24"/>
          <w:highlight w:val="none"/>
          <w14:textFill>
            <w14:solidFill>
              <w14:schemeClr w14:val="tx1"/>
            </w14:solidFill>
          </w14:textFill>
        </w:rPr>
        <w:t>11.违约终止合同</w:t>
      </w:r>
      <w:bookmarkEnd w:id="92"/>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11.1.1如果乙方未能在合同规定的期限内或双方另行确定的延期交货时间内交付合同约定的货物。</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11.1.2乙方未能履行合同项下的任何其它义务。</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93" w:name="_Toc30189"/>
      <w:r>
        <w:rPr>
          <w:rFonts w:hint="eastAsia" w:ascii="宋体" w:hAnsi="宋体" w:eastAsia="宋体" w:cs="宋体"/>
          <w:color w:val="000000" w:themeColor="text1"/>
          <w:sz w:val="24"/>
          <w:szCs w:val="24"/>
          <w:highlight w:val="none"/>
          <w14:textFill>
            <w14:solidFill>
              <w14:schemeClr w14:val="tx1"/>
            </w14:solidFill>
          </w14:textFill>
        </w:rPr>
        <w:t>12.不可抗力</w:t>
      </w:r>
      <w:bookmarkEnd w:id="93"/>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13.合同纠纷处理方式：因本合同或与本合同有关的一切事项发生争议，由双方友好协商解决。协商不成的，选择以下其中一种方式解决：</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）向（</w:t>
      </w:r>
      <w:r>
        <w:rPr>
          <w:rFonts w:hint="eastAsia" w:ascii="宋体" w:hAnsi="宋体" w:eastAsia="宋体" w:cs="宋体"/>
          <w:color w:val="000000" w:themeColor="text1"/>
          <w:sz w:val="24"/>
          <w:szCs w:val="24"/>
          <w:highlight w:val="none"/>
          <w:u w:val="single"/>
          <w14:textFill>
            <w14:solidFill>
              <w14:schemeClr w14:val="tx1"/>
            </w14:solidFill>
          </w14:textFill>
        </w:rPr>
        <w:t>甲方所在地）</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）向有管辖权的人民法院提起诉讼。</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bookmarkStart w:id="94" w:name="_Toc20708"/>
      <w:r>
        <w:rPr>
          <w:rFonts w:hint="eastAsia" w:ascii="宋体" w:hAnsi="宋体" w:eastAsia="宋体" w:cs="宋体"/>
          <w:color w:val="000000" w:themeColor="text1"/>
          <w:sz w:val="24"/>
          <w:szCs w:val="24"/>
          <w:highlight w:val="none"/>
          <w14:textFill>
            <w14:solidFill>
              <w14:schemeClr w14:val="tx1"/>
            </w14:solidFill>
          </w14:textFill>
        </w:rPr>
        <w:t>14.其他约定</w:t>
      </w:r>
      <w:bookmarkEnd w:id="94"/>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14.1本采购项目的采购文件、成交供应商的磋商报价文件以及相关的澄清确认函（如果有的话）均为本合同不可分割的一部分，与本合同具有同等法律效力。</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14.2本合同未尽事宜，双方另行补充。</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14.3本合同一式三份，经双方授权代表签字并加盖公章后生效。甲方、乙方各执一份，送采购代理机构备案一份，具有同等效力。</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                            乙    方：</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                            单位地址：</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电    话：</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bookmarkStart w:id="95" w:name="_Toc28773"/>
      <w:r>
        <w:rPr>
          <w:rFonts w:hint="eastAsia" w:ascii="宋体" w:hAnsi="宋体" w:eastAsia="宋体" w:cs="宋体"/>
          <w:color w:val="000000" w:themeColor="text1"/>
          <w:sz w:val="24"/>
          <w:szCs w:val="24"/>
          <w:highlight w:val="none"/>
          <w14:textFill>
            <w14:solidFill>
              <w14:schemeClr w14:val="tx1"/>
            </w14:solidFill>
          </w14:textFill>
        </w:rPr>
        <w:t>账    号：                            账    号：</w:t>
      </w:r>
      <w:bookmarkEnd w:id="95"/>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96" w:name="_Toc27429"/>
      <w:r>
        <w:rPr>
          <w:rFonts w:hint="eastAsia" w:ascii="宋体" w:hAnsi="宋体" w:eastAsia="宋体" w:cs="宋体"/>
          <w:b/>
          <w:bCs/>
          <w:color w:val="000000" w:themeColor="text1"/>
          <w:sz w:val="32"/>
          <w:szCs w:val="32"/>
          <w:highlight w:val="none"/>
          <w14:textFill>
            <w14:solidFill>
              <w14:schemeClr w14:val="tx1"/>
            </w14:solidFill>
          </w14:textFill>
        </w:rPr>
        <w:t>第五章　报价文件格式</w:t>
      </w:r>
      <w:bookmarkEnd w:id="96"/>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pPr>
              <w:spacing w:line="360" w:lineRule="auto"/>
              <w:ind w:left="492" w:right="132"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p>
    <w:p>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jc w:val="center"/>
        <w:rPr>
          <w:rFonts w:hint="eastAsia" w:ascii="宋体" w:hAnsi="宋体"/>
          <w:b/>
          <w:color w:val="000000" w:themeColor="text1"/>
          <w:sz w:val="36"/>
          <w:highlight w:val="none"/>
          <w14:textFill>
            <w14:solidFill>
              <w14:schemeClr w14:val="tx1"/>
            </w14:solidFill>
          </w14:textFill>
        </w:rPr>
      </w:pPr>
    </w:p>
    <w:p>
      <w:pPr>
        <w:spacing w:line="360" w:lineRule="auto"/>
        <w:ind w:firstLine="1084" w:firstLineChars="300"/>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ind w:firstLine="1247" w:firstLineChars="345"/>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ind w:firstLine="708" w:firstLineChars="196"/>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spacing w:line="360" w:lineRule="auto"/>
        <w:rPr>
          <w:rFonts w:hint="eastAsia" w:ascii="宋体" w:hAnsi="宋体"/>
          <w:b/>
          <w:color w:val="000000" w:themeColor="text1"/>
          <w:sz w:val="36"/>
          <w:highlight w:val="none"/>
          <w14:textFill>
            <w14:solidFill>
              <w14:schemeClr w14:val="tx1"/>
            </w14:solidFill>
          </w14:textFill>
        </w:rPr>
      </w:pPr>
    </w:p>
    <w:p>
      <w:pPr>
        <w:pStyle w:val="4"/>
        <w:snapToGrid w:val="0"/>
        <w:spacing w:line="360" w:lineRule="auto"/>
        <w:ind w:firstLine="0"/>
        <w:jc w:val="center"/>
        <w:rPr>
          <w:rFonts w:hint="eastAsia" w:eastAsia="宋体" w:cs="宋体"/>
          <w:b/>
          <w:bCs/>
          <w:color w:val="000000" w:themeColor="text1"/>
          <w:sz w:val="24"/>
          <w:szCs w:val="24"/>
          <w:highlight w:val="none"/>
          <w14:textFill>
            <w14:solidFill>
              <w14:schemeClr w14:val="tx1"/>
            </w14:solidFill>
          </w14:textFill>
        </w:rPr>
      </w:pPr>
      <w:r>
        <w:rPr>
          <w:rFonts w:hint="eastAsia" w:eastAsia="宋体" w:cs="宋体"/>
          <w:b/>
          <w:bCs/>
          <w:color w:val="000000" w:themeColor="text1"/>
          <w:sz w:val="32"/>
          <w:szCs w:val="32"/>
          <w:highlight w:val="none"/>
          <w14:textFill>
            <w14:solidFill>
              <w14:schemeClr w14:val="tx1"/>
            </w14:solidFill>
          </w14:textFill>
        </w:rPr>
        <w:t>目    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磋商响应声明函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磋商分项报价表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货物说明一览表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 供货范围清单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报价人的资格证明文件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关于资格的声明函</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报价人的资格声明</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单位授权书</w:t>
      </w:r>
    </w:p>
    <w:p>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单位营业执照、税务登记证（或统一社会信用代码）</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w:t>
      </w:r>
      <w:r>
        <w:rPr>
          <w:rFonts w:hint="eastAsia" w:ascii="宋体" w:hAnsi="宋体" w:eastAsia="宋体" w:cs="宋体"/>
          <w:bCs/>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交的其他资料</w:t>
      </w:r>
    </w:p>
    <w:p>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firstLine="2911" w:firstLineChars="90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磋商响应声明函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5"/>
        <w:spacing w:after="0"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根据贵方为</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项目采购文件的磋商邀请，本签字代表</w:t>
      </w:r>
      <w:r>
        <w:rPr>
          <w:rFonts w:hint="eastAsia" w:ascii="宋体" w:hAnsi="宋体" w:eastAsia="宋体" w:cs="宋体"/>
          <w:bCs/>
          <w:color w:val="000000" w:themeColor="text1"/>
          <w:sz w:val="24"/>
          <w:szCs w:val="24"/>
          <w:highlight w:val="none"/>
          <w:u w:val="single"/>
          <w14:textFill>
            <w14:solidFill>
              <w14:schemeClr w14:val="tx1"/>
            </w14:solidFill>
          </w14:textFill>
        </w:rPr>
        <w:t>　　　　　（全名、职务）</w:t>
      </w:r>
      <w:r>
        <w:rPr>
          <w:rFonts w:hint="eastAsia" w:ascii="宋体" w:hAnsi="宋体" w:eastAsia="宋体" w:cs="宋体"/>
          <w:bCs/>
          <w:color w:val="000000" w:themeColor="text1"/>
          <w:sz w:val="24"/>
          <w:szCs w:val="24"/>
          <w:highlight w:val="none"/>
          <w14:textFill>
            <w14:solidFill>
              <w14:schemeClr w14:val="tx1"/>
            </w14:solidFill>
          </w14:textFill>
        </w:rPr>
        <w:t>经正式授权并代表报价人</w:t>
      </w:r>
      <w:r>
        <w:rPr>
          <w:rFonts w:hint="eastAsia" w:ascii="宋体" w:hAnsi="宋体" w:eastAsia="宋体" w:cs="宋体"/>
          <w:bCs/>
          <w:color w:val="000000" w:themeColor="text1"/>
          <w:sz w:val="24"/>
          <w:szCs w:val="24"/>
          <w:highlight w:val="none"/>
          <w:u w:val="single"/>
          <w14:textFill>
            <w14:solidFill>
              <w14:schemeClr w14:val="tx1"/>
            </w14:solidFill>
          </w14:textFill>
        </w:rPr>
        <w:t>　　　　　　　　　　（全称、地址）</w:t>
      </w:r>
      <w:r>
        <w:rPr>
          <w:rFonts w:hint="eastAsia" w:ascii="宋体" w:hAnsi="宋体" w:eastAsia="宋体" w:cs="宋体"/>
          <w:bCs/>
          <w:color w:val="000000" w:themeColor="text1"/>
          <w:sz w:val="24"/>
          <w:szCs w:val="24"/>
          <w:highlight w:val="none"/>
          <w14:textFill>
            <w14:solidFill>
              <w14:schemeClr w14:val="tx1"/>
            </w14:solidFill>
          </w14:textFill>
        </w:rPr>
        <w:t>提交下述文件正本一份和副本</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四 </w:t>
      </w:r>
      <w:r>
        <w:rPr>
          <w:rFonts w:hint="eastAsia" w:ascii="宋体" w:hAnsi="宋体" w:eastAsia="宋体" w:cs="宋体"/>
          <w:bCs/>
          <w:color w:val="000000" w:themeColor="text1"/>
          <w:sz w:val="24"/>
          <w:szCs w:val="24"/>
          <w:highlight w:val="none"/>
          <w14:textFill>
            <w14:solidFill>
              <w14:schemeClr w14:val="tx1"/>
            </w14:solidFill>
          </w14:textFill>
        </w:rPr>
        <w:t>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1.报价一览表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2.磋商分项报价表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3.说明货物一览表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4.供货范围清单</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5.技术规格和商务偏离表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6.报价人资格证明文件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7.报价人提交的其他资料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方式提供的金额为人民币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元的磋商保证金。</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，即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（中文表述）。</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后即向贵司缴纳</w:t>
      </w:r>
      <w:r>
        <w:rPr>
          <w:rFonts w:hint="eastAsia" w:ascii="宋体" w:hAnsi="宋体" w:eastAsia="宋体" w:cs="宋体"/>
          <w:bCs/>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Cs/>
          <w:color w:val="000000" w:themeColor="text1"/>
          <w:sz w:val="24"/>
          <w:szCs w:val="24"/>
          <w:highlight w:val="none"/>
          <w14:textFill>
            <w14:solidFill>
              <w14:schemeClr w14:val="tx1"/>
            </w14:solidFill>
          </w14:textFill>
        </w:rPr>
        <w:t>，并以贵司发出的成交通知书上规定的时间内签订采购合同。</w:t>
      </w:r>
    </w:p>
    <w:p>
      <w:pPr>
        <w:spacing w:line="360" w:lineRule="auto"/>
        <w:ind w:firstLine="480" w:firstLineChars="200"/>
        <w:outlineLvl w:val="9"/>
        <w:rPr>
          <w:rFonts w:hint="eastAsia" w:ascii="宋体" w:hAnsi="宋体" w:eastAsia="宋体" w:cs="宋体"/>
          <w:bCs/>
          <w:color w:val="000000" w:themeColor="text1"/>
          <w:sz w:val="24"/>
          <w:szCs w:val="24"/>
          <w:highlight w:val="none"/>
          <w14:textFill>
            <w14:solidFill>
              <w14:schemeClr w14:val="tx1"/>
            </w14:solidFill>
          </w14:textFill>
        </w:rPr>
      </w:pPr>
      <w:bookmarkStart w:id="97" w:name="_Toc29663"/>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报价人将按采购文件的规定履行合同责任和义务。</w:t>
      </w:r>
      <w:bookmarkEnd w:id="97"/>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pPr>
        <w:spacing w:line="360" w:lineRule="auto"/>
        <w:ind w:firstLine="600" w:firstLineChars="250"/>
        <w:outlineLvl w:val="9"/>
        <w:rPr>
          <w:rFonts w:hint="eastAsia" w:ascii="宋体" w:hAnsi="宋体" w:eastAsia="宋体" w:cs="宋体"/>
          <w:bCs/>
          <w:color w:val="000000" w:themeColor="text1"/>
          <w:sz w:val="24"/>
          <w:szCs w:val="24"/>
          <w:highlight w:val="none"/>
          <w14:textFill>
            <w14:solidFill>
              <w14:schemeClr w14:val="tx1"/>
            </w14:solidFill>
          </w14:textFill>
        </w:rPr>
      </w:pPr>
      <w:bookmarkStart w:id="98" w:name="_Toc2493"/>
      <w:r>
        <w:rPr>
          <w:rFonts w:hint="eastAsia" w:ascii="宋体" w:hAnsi="宋体" w:eastAsia="宋体" w:cs="宋体"/>
          <w:color w:val="000000" w:themeColor="text1"/>
          <w:sz w:val="24"/>
          <w:szCs w:val="24"/>
          <w:highlight w:val="none"/>
          <w14:textFill>
            <w14:solidFill>
              <w14:schemeClr w14:val="tx1"/>
            </w14:solidFill>
          </w14:textFill>
        </w:rPr>
        <w:t>（8）与本磋商响应有关的一切正式往来通讯请寄：</w:t>
      </w:r>
      <w:bookmarkEnd w:id="98"/>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邮编：</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电话：</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传真：</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电子信箱：</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jc w:val="righ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14:textFill>
            <w14:solidFill>
              <w14:schemeClr w14:val="tx1"/>
            </w14:solidFill>
          </w14:textFill>
        </w:rPr>
        <w:t>　　年　　月　　日</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pStyle w:val="21"/>
        <w:spacing w:line="360" w:lineRule="auto"/>
        <w:jc w:val="left"/>
        <w:outlineLvl w:val="9"/>
        <w:rPr>
          <w:rFonts w:hint="eastAsia" w:hAnsi="宋体" w:eastAsia="宋体" w:cs="宋体"/>
          <w:color w:val="000000" w:themeColor="text1"/>
          <w:sz w:val="24"/>
          <w:szCs w:val="24"/>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21"/>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bookmarkStart w:id="99" w:name="_Toc10004"/>
      <w:bookmarkStart w:id="100" w:name="_Toc19491"/>
      <w:r>
        <w:rPr>
          <w:rFonts w:hint="eastAsia" w:hAnsi="宋体" w:eastAsia="宋体" w:cs="宋体"/>
          <w:b/>
          <w:color w:val="000000" w:themeColor="text1"/>
          <w:sz w:val="32"/>
          <w:szCs w:val="32"/>
          <w:highlight w:val="none"/>
          <w14:textFill>
            <w14:solidFill>
              <w14:schemeClr w14:val="tx1"/>
            </w14:solidFill>
          </w14:textFill>
        </w:rPr>
        <w:t>报价一览表</w:t>
      </w:r>
      <w:bookmarkEnd w:id="99"/>
      <w:bookmarkEnd w:id="100"/>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                  采购项目编号∶                   货币单位：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911"/>
        <w:gridCol w:w="949"/>
        <w:gridCol w:w="2059"/>
        <w:gridCol w:w="3345"/>
        <w:gridCol w:w="1722"/>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序号</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货物名称规格</w:t>
            </w:r>
          </w:p>
        </w:tc>
        <w:tc>
          <w:tcPr>
            <w:tcW w:w="9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制造商</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报价(现场交货价)</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交付使用期</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电子天平</w:t>
            </w:r>
          </w:p>
        </w:tc>
        <w:tc>
          <w:tcPr>
            <w:tcW w:w="9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1台</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tabs>
          <w:tab w:val="left" w:pos="1300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2.详细报价清单应另纸详列，且标明所报各种货物的数量和金额。       </w:t>
      </w:r>
    </w:p>
    <w:p>
      <w:pPr>
        <w:spacing w:line="360" w:lineRule="auto"/>
        <w:ind w:firstLine="465"/>
        <w:rPr>
          <w:rFonts w:hint="eastAsia" w:ascii="宋体" w:hAnsi="宋体" w:eastAsia="宋体" w:cs="宋体"/>
          <w:b/>
          <w:color w:val="000000" w:themeColor="text1"/>
          <w:sz w:val="24"/>
          <w:szCs w:val="24"/>
          <w:highlight w:val="none"/>
          <w14:textFill>
            <w14:solidFill>
              <w14:schemeClr w14:val="tx1"/>
            </w14:solidFill>
          </w14:textFill>
        </w:rPr>
        <w:sectPr>
          <w:footerReference r:id="rId5"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磋商分项报价表（格式）</w:t>
      </w:r>
    </w:p>
    <w:p>
      <w:pPr>
        <w:pStyle w:val="6"/>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pPr>
        <w:pStyle w:val="6"/>
        <w:spacing w:line="360" w:lineRule="auto"/>
        <w:jc w:val="left"/>
        <w:rPr>
          <w:rFonts w:hint="eastAsia" w:hAnsi="宋体" w:eastAsia="宋体" w:cs="宋体"/>
          <w:bCs/>
          <w:color w:val="000000" w:themeColor="text1"/>
          <w:sz w:val="24"/>
          <w:szCs w:val="24"/>
          <w:highlight w:val="none"/>
          <w:lang w:eastAsia="zh-CN"/>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报价人名称：</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项目编号：</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货币单位：</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货物合同包</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货物名称</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原产地/制造商(全称)</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数量、型号、规格</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主机和标准附件单价</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备品备件价</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易损件价</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专用工具价</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技术服务费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安装调试费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检验培训费</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运输（至目的港或目的地）</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保险</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w:t>
            </w:r>
          </w:p>
        </w:tc>
        <w:tc>
          <w:tcPr>
            <w:tcW w:w="1902"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其它</w:t>
            </w:r>
          </w:p>
        </w:tc>
        <w:tc>
          <w:tcPr>
            <w:tcW w:w="2076"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w:t>
            </w:r>
          </w:p>
        </w:tc>
        <w:tc>
          <w:tcPr>
            <w:tcW w:w="1902"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报价总价</w:t>
            </w:r>
          </w:p>
        </w:tc>
        <w:tc>
          <w:tcPr>
            <w:tcW w:w="2076"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到达目的地价</w:t>
            </w:r>
          </w:p>
        </w:tc>
        <w:tc>
          <w:tcPr>
            <w:tcW w:w="1561"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w:t>
            </w:r>
          </w:p>
        </w:tc>
        <w:tc>
          <w:tcPr>
            <w:tcW w:w="1902" w:type="dxa"/>
            <w:tcBorders>
              <w:bottom w:val="single" w:color="auto" w:sz="4" w:space="0"/>
            </w:tcBorders>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交付使用期</w:t>
            </w:r>
          </w:p>
        </w:tc>
        <w:tc>
          <w:tcPr>
            <w:tcW w:w="6660" w:type="dxa"/>
            <w:gridSpan w:val="4"/>
            <w:tcBorders>
              <w:bottom w:val="single" w:color="auto" w:sz="4" w:space="0"/>
            </w:tcBorders>
            <w:noWrap w:val="0"/>
            <w:vAlign w:val="center"/>
          </w:tcPr>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注：1.第1栏货物合同包/品目号系指“采购货物一览表”中该货物的合同包/品目号。</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2.报价总价＝（栏目5+6+7+8）X数量+栏9至14的各项费用。</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3.选购件价不包括在本报价表内，应另附纸分项单报。</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4.此表第15项报价总价若与报价一览表有出入，以报价一览表报价价格为准。</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5.若未详细分项报价将被视为没有实质性响应采购文件。</w:t>
      </w:r>
    </w:p>
    <w:p>
      <w:pPr>
        <w:pStyle w:val="21"/>
        <w:spacing w:line="360" w:lineRule="auto"/>
        <w:outlineLvl w:val="9"/>
        <w:rPr>
          <w:rFonts w:hint="eastAsia" w:hAnsi="宋体" w:eastAsia="宋体" w:cs="宋体"/>
          <w:bCs/>
          <w:color w:val="000000" w:themeColor="text1"/>
          <w:sz w:val="24"/>
          <w:szCs w:val="24"/>
          <w:highlight w:val="none"/>
          <w:u w:val="single"/>
          <w14:textFill>
            <w14:solidFill>
              <w14:schemeClr w14:val="tx1"/>
            </w14:solidFill>
          </w14:textFill>
        </w:rPr>
      </w:pPr>
      <w:bookmarkStart w:id="101" w:name="_Toc3541"/>
      <w:bookmarkStart w:id="102" w:name="_Toc1836"/>
      <w:r>
        <w:rPr>
          <w:rFonts w:hint="eastAsia" w:hAnsi="宋体" w:eastAsia="宋体" w:cs="宋体"/>
          <w:bCs/>
          <w:color w:val="000000" w:themeColor="text1"/>
          <w:sz w:val="24"/>
          <w:szCs w:val="24"/>
          <w:highlight w:val="none"/>
          <w14:textFill>
            <w14:solidFill>
              <w14:schemeClr w14:val="tx1"/>
            </w14:solidFill>
          </w14:textFill>
        </w:rPr>
        <w:t>报价人代表签名：</w:t>
      </w:r>
      <w:bookmarkEnd w:id="101"/>
      <w:bookmarkEnd w:id="102"/>
      <w:r>
        <w:rPr>
          <w:rFonts w:hint="eastAsia"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sectPr>
          <w:footerReference r:id="rId6"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货物说明一览表</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（按货物合同包下品目号类别分别填写）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                                    采购项目编号∶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制造商（型号）</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详细性能说明</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供货范围清单</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本清单应列明组成货物的主要件和关键件的名称、数量、原产地及单价；</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本清单应列明专用工具的名称、数量、原产地及单价（如果有的话）；</w:t>
      </w:r>
    </w:p>
    <w:p>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本清单应列明备用品备件的名称、数量、原产地及单价（如果有的话）。</w:t>
      </w:r>
    </w:p>
    <w:p>
      <w:pPr>
        <w:spacing w:line="360" w:lineRule="auto"/>
        <w:ind w:firstLine="660"/>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right="480" w:firstLine="120" w:firstLineChars="50"/>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sectPr>
          <w:footerReference r:id="rId13"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技术规格和商务偏离表</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3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合同包/品目号</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规格条目号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磋商响应情况</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磋商响应对应的页码</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注：1.报价人根据采购要求逐条说明磋商响应情况。</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报价</w:t>
      </w:r>
      <w:r>
        <w:rPr>
          <w:rFonts w:hint="eastAsia" w:ascii="宋体" w:hAnsi="宋体" w:eastAsia="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。报价人存在弄虚作假行为的，将依法承担响应的法律责任。</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报价人的资格证明文件</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关于资格的声明函</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（项目编号）采购磋商邀请，本签字人愿意参加磋商，提供采购文件“采购货物及要求”中规定的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（合同包/品目号）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（货物名称），并证明提交的下列文件和说明是准确的和真实的。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2．我方的资格声明正本一份，副本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四 </w:t>
      </w:r>
      <w:r>
        <w:rPr>
          <w:rFonts w:hint="eastAsia" w:ascii="宋体" w:hAnsi="宋体" w:eastAsia="宋体" w:cs="宋体"/>
          <w:color w:val="000000" w:themeColor="text1"/>
          <w:sz w:val="24"/>
          <w:szCs w:val="24"/>
          <w:highlight w:val="none"/>
          <w14:textFill>
            <w14:solidFill>
              <w14:schemeClr w14:val="tx1"/>
            </w14:solidFill>
          </w14:textFill>
        </w:rPr>
        <w:t>份，随报价文件一同递交。</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报价人代表签字：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sectPr>
          <w:footerReference r:id="rId14"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报价人的资格声明</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1.报价人概况：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Ａ．报价人名称：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Ｂ．注册地址：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Ｄ．法定代表人：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（姓名、职务）</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实收资本：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其中 国家资本：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个人资本：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外商资本：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(1)固定资产合计: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(2)流动资产合计: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(3)长期负债合计: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(4)流动负债合计: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Ｆ．最近损益表（到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(1)本年（期）利润总额累计：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（1）具有独立承担民事责任的能力；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（2）具有良好的商业信誉和健全的财务会计制度；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（3）具有履行合同所必需的设备和专业技术能力；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（4）有依法缴纳税收和社会保障资金的良好记录；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（5）近三年内，在经营活动中没有重大违法记录。</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3.最近三年报价货物在国内主要用户的名称和地址：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4.单位营业执照、税务登记证见附件</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pPr>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单位授权书</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p>
      <w:pPr>
        <w:pStyle w:val="6"/>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u w:val="single"/>
          <w14:textFill>
            <w14:solidFill>
              <w14:schemeClr w14:val="tx1"/>
            </w14:solidFill>
          </w14:textFill>
        </w:rPr>
        <w:t xml:space="preserve">（报价人全称）        </w:t>
      </w:r>
      <w:r>
        <w:rPr>
          <w:rFonts w:hint="eastAsia" w:hAnsi="宋体" w:eastAsia="宋体" w:cs="宋体"/>
          <w:color w:val="000000" w:themeColor="text1"/>
          <w:sz w:val="24"/>
          <w:szCs w:val="24"/>
          <w:highlight w:val="none"/>
          <w14:textFill>
            <w14:solidFill>
              <w14:schemeClr w14:val="tx1"/>
            </w14:solidFill>
          </w14:textFill>
        </w:rPr>
        <w:t xml:space="preserve"> 授权</w:t>
      </w:r>
      <w:r>
        <w:rPr>
          <w:rFonts w:hint="eastAsia" w:hAnsi="宋体" w:eastAsia="宋体" w:cs="宋体"/>
          <w:color w:val="000000" w:themeColor="text1"/>
          <w:sz w:val="24"/>
          <w:szCs w:val="24"/>
          <w:highlight w:val="none"/>
          <w:u w:val="single"/>
          <w14:textFill>
            <w14:solidFill>
              <w14:schemeClr w14:val="tx1"/>
            </w14:solidFill>
          </w14:textFill>
        </w:rPr>
        <w:t xml:space="preserve">  （报价人代表姓名）</w:t>
      </w:r>
      <w:r>
        <w:rPr>
          <w:rFonts w:hint="eastAsia" w:hAnsi="宋体" w:eastAsia="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项目（项目编号</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6"/>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本授权书自出具之日起生效。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部门：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附：被授权人身份证件</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授权方</w:t>
      </w:r>
    </w:p>
    <w:p>
      <w:pPr>
        <w:spacing w:line="360" w:lineRule="auto"/>
        <w:ind w:firstLine="3960" w:firstLineChars="16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接受授权方</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21"/>
        <w:spacing w:line="360" w:lineRule="auto"/>
        <w:jc w:val="center"/>
        <w:outlineLvl w:val="9"/>
        <w:rPr>
          <w:rFonts w:hint="eastAsia" w:hAnsi="宋体" w:eastAsia="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int="eastAsia" w:hAnsi="宋体" w:eastAsia="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int="eastAsia" w:hAnsi="宋体" w:eastAsia="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int="eastAsia" w:hAnsi="宋体" w:eastAsia="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int="eastAsia" w:hAnsi="宋体" w:eastAsia="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int="eastAsia" w:hAnsi="宋体" w:eastAsia="宋体" w:cs="宋体"/>
          <w:color w:val="000000" w:themeColor="text1"/>
          <w:sz w:val="24"/>
          <w:szCs w:val="24"/>
          <w:highlight w:val="none"/>
          <w14:textFill>
            <w14:solidFill>
              <w14:schemeClr w14:val="tx1"/>
            </w14:solidFill>
          </w14:textFill>
        </w:rPr>
      </w:pPr>
      <w:bookmarkStart w:id="103" w:name="_Toc21805"/>
      <w:bookmarkStart w:id="104" w:name="_Toc32696"/>
      <w:r>
        <w:rPr>
          <w:rFonts w:hint="eastAsia" w:hAnsi="宋体" w:eastAsia="宋体" w:cs="宋体"/>
          <w:b/>
          <w:color w:val="000000" w:themeColor="text1"/>
          <w:sz w:val="32"/>
          <w:szCs w:val="32"/>
          <w:highlight w:val="none"/>
          <w14:textFill>
            <w14:solidFill>
              <w14:schemeClr w14:val="tx1"/>
            </w14:solidFill>
          </w14:textFill>
        </w:rPr>
        <w:t>单位营业执照、税务登记证</w:t>
      </w:r>
      <w:bookmarkEnd w:id="103"/>
      <w:bookmarkEnd w:id="104"/>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（签发机关名称）签发的我方单位营业执照副本复印件，该执照业，真实有效。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（签发机关名称）签发的我方税务登记证副本复印件，该证件真实有效。</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5"/>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注：单位营业执照、税务登记证提供复印件，由企业加盖公章并注明复印件与原件一致。或提供含统一社会信用代码证照。</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ind w:firstLine="2570" w:firstLineChars="800"/>
        <w:jc w:val="left"/>
        <w:rPr>
          <w:rFonts w:hint="eastAsia" w:ascii="宋体" w:hAnsi="宋体" w:eastAsia="宋体" w:cs="宋体"/>
          <w:b/>
          <w:color w:val="000000" w:themeColor="text1"/>
          <w:sz w:val="32"/>
          <w:szCs w:val="32"/>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tabs>
          <w:tab w:val="left" w:pos="2100"/>
          <w:tab w:val="center" w:pos="4201"/>
        </w:tabs>
        <w:spacing w:line="360" w:lineRule="auto"/>
        <w:ind w:firstLine="2570" w:firstLineChars="8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报价人提交的其他资料</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参加采购活动前3年内在经营活动中没有重大违法记录的书面声明；报价人自行对其有无行贿犯罪情形进行书面说明或书面承诺。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报价人认为应提交的其他材料, 可在此附件中提交。</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代理服务费</w:t>
      </w:r>
      <w:r>
        <w:rPr>
          <w:rFonts w:hint="eastAsia" w:ascii="宋体" w:hAnsi="宋体" w:eastAsia="宋体" w:cs="宋体"/>
          <w:b/>
          <w:bCs/>
          <w:color w:val="000000" w:themeColor="text1"/>
          <w:sz w:val="32"/>
          <w:szCs w:val="32"/>
          <w:highlight w:val="none"/>
          <w14:textFill>
            <w14:solidFill>
              <w14:schemeClr w14:val="tx1"/>
            </w14:solidFill>
          </w14:textFill>
        </w:rPr>
        <w:t>承诺书</w:t>
      </w:r>
    </w:p>
    <w:p>
      <w:pPr>
        <w:pStyle w:val="21"/>
        <w:spacing w:line="360" w:lineRule="auto"/>
        <w:jc w:val="center"/>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cr/>
      </w:r>
      <w:r>
        <w:rPr>
          <w:rFonts w:hint="eastAsia" w:hAnsi="宋体" w:eastAsia="宋体" w:cs="宋体"/>
          <w:color w:val="000000" w:themeColor="text1"/>
          <w:sz w:val="24"/>
          <w:szCs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致：厦门万翔招标有限公司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我司在贵司组织的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采购磋商</w:t>
      </w:r>
      <w:r>
        <w:rPr>
          <w:rFonts w:hint="eastAsia" w:ascii="宋体" w:hAnsi="宋体" w:eastAsia="宋体" w:cs="宋体"/>
          <w:color w:val="000000" w:themeColor="text1"/>
          <w:sz w:val="24"/>
          <w:szCs w:val="24"/>
          <w:highlight w:val="none"/>
          <w14:textFill>
            <w14:solidFill>
              <w14:schemeClr w14:val="tx1"/>
            </w14:solidFill>
          </w14:textFill>
        </w:rPr>
        <w:t>项目中报价（项目编号：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，否则，我司同意贵司在厦门招投标网上对我司“不按规定缴交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的行为”进行公示。若自公示之日起3个工作日内，我司仍未缴交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的，我司同意按每日1%计取违约金。</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3360" w:firstLineChars="1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           日 期：</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ind w:left="68"/>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附：廉洁承诺书</w:t>
      </w:r>
    </w:p>
    <w:p>
      <w:pPr>
        <w:widowControl/>
        <w:spacing w:line="360" w:lineRule="auto"/>
        <w:ind w:left="6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廉洁承诺书</w:t>
      </w:r>
    </w:p>
    <w:p>
      <w:pPr>
        <w:widowControl/>
        <w:spacing w:line="360" w:lineRule="auto"/>
        <w:ind w:left="68"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8"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8"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8"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pPr>
        <w:spacing w:line="360" w:lineRule="auto"/>
        <w:ind w:left="68"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"mailto:zpk@iport.com.cn"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8"/>
          <w:rFonts w:hint="eastAsia" w:ascii="宋体" w:hAnsi="宋体" w:eastAsia="宋体" w:cs="宋体"/>
          <w:color w:val="000000" w:themeColor="text1"/>
          <w:sz w:val="24"/>
          <w:szCs w:val="24"/>
          <w:highlight w:val="none"/>
          <w14:textFill>
            <w14:solidFill>
              <w14:schemeClr w14:val="tx1"/>
            </w14:solidFill>
          </w14:textFill>
        </w:rPr>
        <w:t>zpk@iport.com.cn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pPr>
        <w:spacing w:line="360" w:lineRule="auto"/>
        <w:ind w:left="68"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万元人民币违约金。</w:t>
      </w:r>
    </w:p>
    <w:p>
      <w:pPr>
        <w:spacing w:line="360" w:lineRule="auto"/>
        <w:ind w:left="68"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spacing w:line="360" w:lineRule="auto"/>
        <w:ind w:left="68"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报价人名称（盖章）：</w:t>
      </w:r>
    </w:p>
    <w:p>
      <w:pPr>
        <w:spacing w:line="360" w:lineRule="auto"/>
        <w:ind w:left="68"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w:t>
      </w:r>
    </w:p>
    <w:p>
      <w:pPr>
        <w:spacing w:line="360" w:lineRule="auto"/>
        <w:ind w:left="68"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pPr>
        <w:spacing w:line="360" w:lineRule="auto"/>
        <w:ind w:left="68" w:firstLine="460" w:firstLineChars="19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资格承诺函</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（项目编号：    ）</w:t>
      </w:r>
      <w:r>
        <w:rPr>
          <w:rFonts w:hint="eastAsia" w:ascii="宋体" w:hAnsi="宋体" w:eastAsia="宋体" w:cs="宋体"/>
          <w:color w:val="000000" w:themeColor="text1"/>
          <w:sz w:val="24"/>
          <w:szCs w:val="24"/>
          <w:highlight w:val="none"/>
          <w14:textFill>
            <w14:solidFill>
              <w14:schemeClr w14:val="tx1"/>
            </w14:solidFill>
          </w14:textFill>
        </w:rPr>
        <w:t>项目的采购活动，现承诺如下：</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1.我单位具有符合采购文件资格要求的财务状况报告。</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2.我单位具有符合采购文件资格要求的依法缴纳税收的相关证明材料。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若我单位承诺不实，自愿承担提供虚假材料谋取中标、成交的法律责任。</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单位负责人或授权代表（签字）：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bookmarkStart w:id="105" w:name="_Toc9203"/>
      <w:r>
        <w:rPr>
          <w:rFonts w:hint="eastAsia" w:ascii="宋体" w:hAnsi="宋体" w:eastAsia="宋体" w:cs="宋体"/>
          <w:color w:val="000000" w:themeColor="text1"/>
          <w:sz w:val="24"/>
          <w:szCs w:val="24"/>
          <w:highlight w:val="none"/>
          <w14:textFill>
            <w14:solidFill>
              <w14:schemeClr w14:val="tx1"/>
            </w14:solidFill>
          </w14:textFill>
        </w:rPr>
        <w:t>﹍﹍﹍﹍﹍﹍﹍﹍﹍﹍﹍﹍﹍﹍﹍﹍﹍﹍﹍﹍﹍﹍﹍﹍</w:t>
      </w:r>
      <w:bookmarkEnd w:id="105"/>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left="69"/>
        <w:jc w:val="center"/>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06" w:name="_Toc20889"/>
      <w:r>
        <w:rPr>
          <w:rFonts w:hint="eastAsia" w:ascii="宋体" w:hAnsi="宋体" w:eastAsia="宋体" w:cs="宋体"/>
          <w:b/>
          <w:bCs/>
          <w:color w:val="000000" w:themeColor="text1"/>
          <w:sz w:val="32"/>
          <w:szCs w:val="32"/>
          <w:highlight w:val="none"/>
          <w14:textFill>
            <w14:solidFill>
              <w14:schemeClr w14:val="tx1"/>
            </w14:solidFill>
          </w14:textFill>
        </w:rPr>
        <w:t>退还磋商保证金申请表</w:t>
      </w:r>
      <w:bookmarkEnd w:id="106"/>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组织机构代码证</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磋商保证金金额</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收款单位名称</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开户银行（需填写完整）</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开户行账号（原来转磋商保证金账号）</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4691" w:type="dxa"/>
            <w:noWrap w:val="0"/>
            <w:vAlign w:val="top"/>
          </w:tcPr>
          <w:p>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（报价人名称，加盖公章）</w:t>
      </w:r>
    </w:p>
    <w:p>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outlineLvl w:val="9"/>
        <w:rPr>
          <w:rFonts w:hint="eastAsia" w:ascii="宋体" w:hAnsi="宋体" w:eastAsia="宋体" w:cs="宋体"/>
          <w:color w:val="000000" w:themeColor="text1"/>
          <w:sz w:val="24"/>
          <w:szCs w:val="24"/>
          <w:highlight w:val="none"/>
          <w14:textFill>
            <w14:solidFill>
              <w14:schemeClr w14:val="tx1"/>
            </w14:solidFill>
          </w14:textFill>
        </w:rPr>
      </w:pPr>
      <w:bookmarkStart w:id="107" w:name="_Toc9366"/>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资信证明</w:t>
      </w:r>
      <w:bookmarkEnd w:id="107"/>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资信证明</w:t>
      </w:r>
    </w:p>
    <w:p>
      <w:pPr>
        <w:spacing w:line="360" w:lineRule="auto"/>
        <w:ind w:right="480" w:firstLine="5880" w:firstLineChars="2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编号：        </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特此证明。</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right="480"/>
        <w:jc w:val="right"/>
        <w:outlineLvl w:val="9"/>
        <w:rPr>
          <w:rFonts w:hint="eastAsia" w:ascii="宋体" w:hAnsi="宋体" w:eastAsia="宋体" w:cs="宋体"/>
          <w:color w:val="000000" w:themeColor="text1"/>
          <w:sz w:val="24"/>
          <w:szCs w:val="24"/>
          <w:highlight w:val="none"/>
          <w14:textFill>
            <w14:solidFill>
              <w14:schemeClr w14:val="tx1"/>
            </w14:solidFill>
          </w14:textFill>
        </w:rPr>
      </w:pPr>
      <w:bookmarkStart w:id="108" w:name="_Toc30524"/>
      <w:r>
        <w:rPr>
          <w:rFonts w:hint="eastAsia" w:ascii="宋体" w:hAnsi="宋体" w:eastAsia="宋体" w:cs="宋体"/>
          <w:color w:val="000000" w:themeColor="text1"/>
          <w:sz w:val="24"/>
          <w:szCs w:val="24"/>
          <w:highlight w:val="none"/>
          <w14:textFill>
            <w14:solidFill>
              <w14:schemeClr w14:val="tx1"/>
            </w14:solidFill>
          </w14:textFill>
        </w:rPr>
        <w:t>XX银行股份有限公司</w:t>
      </w:r>
      <w:bookmarkEnd w:id="108"/>
    </w:p>
    <w:p>
      <w:pPr>
        <w:spacing w:line="360" w:lineRule="auto"/>
        <w:ind w:left="6240" w:hanging="6240" w:hangingChars="2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3520" w:firstLineChars="1100"/>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352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质疑函要求</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供应商提出质疑应当提交质疑函和必要的证明材料。质疑函应当包括下列内容：</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(一)供应商的姓名或者名称、地址、邮编、联系人及联系电话;</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(二)质疑项目的名称、编号;</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(三)具体、明确的质疑事项和与质疑事项相关的请求;</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(四)事实依据;</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(五)必要的法律依据;</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(六)提出质疑的日期。</w:t>
      </w:r>
    </w:p>
    <w:p>
      <w:pPr>
        <w:pStyle w:val="1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hint="eastAsia" w:ascii="宋体" w:hAnsi="宋体" w:eastAsia="宋体" w:cs="宋体"/>
          <w:color w:val="000000" w:themeColor="text1"/>
          <w:sz w:val="32"/>
          <w:szCs w:val="32"/>
          <w:highlight w:val="none"/>
          <w14:textFill>
            <w14:solidFill>
              <w14:schemeClr w14:val="tx1"/>
            </w14:solidFill>
          </w14:textFill>
        </w:rPr>
      </w:pPr>
    </w:p>
    <w:p>
      <w:pPr>
        <w:pStyle w:val="3"/>
        <w:spacing w:before="120" w:after="120" w:line="360" w:lineRule="exact"/>
        <w:jc w:val="center"/>
        <w:rPr>
          <w:rFonts w:hint="eastAsia" w:ascii="宋体" w:hAnsi="宋体" w:cs="宋体"/>
          <w:color w:val="000000" w:themeColor="text1"/>
          <w:sz w:val="28"/>
          <w:szCs w:val="28"/>
          <w:highlight w:val="none"/>
          <w14:textFill>
            <w14:solidFill>
              <w14:schemeClr w14:val="tx1"/>
            </w14:solidFill>
          </w14:textFill>
        </w:rPr>
      </w:pPr>
      <w:bookmarkStart w:id="109" w:name="_Toc29977"/>
      <w:bookmarkStart w:id="110" w:name="_Toc481479999"/>
      <w:bookmarkStart w:id="111" w:name="_Toc518466688"/>
      <w:bookmarkStart w:id="112" w:name="_Toc515448370"/>
      <w:bookmarkStart w:id="113" w:name="_Toc482352471"/>
      <w:bookmarkStart w:id="114" w:name="_Toc16305"/>
      <w:bookmarkStart w:id="115" w:name="_Toc481048051"/>
      <w:bookmarkStart w:id="116" w:name="_Toc533519525"/>
      <w:bookmarkStart w:id="117" w:name="_Toc480983544"/>
      <w:bookmarkStart w:id="118" w:name="_Toc515448957"/>
      <w:bookmarkStart w:id="119" w:name="_Toc445805337"/>
      <w:r>
        <w:rPr>
          <w:rFonts w:hint="eastAsia" w:ascii="宋体" w:hAnsi="宋体" w:cs="宋体"/>
          <w:color w:val="000000" w:themeColor="text1"/>
          <w:sz w:val="28"/>
          <w:szCs w:val="28"/>
          <w:highlight w:val="none"/>
          <w14:textFill>
            <w14:solidFill>
              <w14:schemeClr w14:val="tx1"/>
            </w14:solidFill>
          </w14:textFill>
        </w:rPr>
        <w:t>资格及符合性条款（带*条款）响应表</w:t>
      </w:r>
      <w:bookmarkEnd w:id="109"/>
      <w:bookmarkEnd w:id="110"/>
      <w:bookmarkEnd w:id="111"/>
      <w:bookmarkEnd w:id="112"/>
      <w:bookmarkEnd w:id="113"/>
      <w:bookmarkEnd w:id="114"/>
      <w:bookmarkEnd w:id="115"/>
      <w:bookmarkEnd w:id="116"/>
      <w:bookmarkEnd w:id="117"/>
      <w:bookmarkEnd w:id="118"/>
      <w:bookmarkEnd w:id="119"/>
    </w:p>
    <w:p>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供应商名称</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加盖公章</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pPr>
              <w:widowControl/>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5812"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采购文件要求</w:t>
            </w:r>
          </w:p>
        </w:tc>
        <w:tc>
          <w:tcPr>
            <w:tcW w:w="992"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报价响应情况</w:t>
            </w:r>
          </w:p>
        </w:tc>
        <w:tc>
          <w:tcPr>
            <w:tcW w:w="850"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偏离说明</w:t>
            </w:r>
          </w:p>
        </w:tc>
        <w:tc>
          <w:tcPr>
            <w:tcW w:w="851"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pPr>
              <w:widowControl/>
              <w:numPr>
                <w:ilvl w:val="0"/>
                <w:numId w:val="1"/>
              </w:numPr>
              <w:ind w:left="197" w:hanging="197"/>
              <w:jc w:val="center"/>
              <w:rPr>
                <w:rFonts w:hint="eastAsia" w:ascii="宋体" w:hAnsi="宋体" w:cs="宋体"/>
                <w:bCs/>
                <w:color w:val="000000" w:themeColor="text1"/>
                <w:sz w:val="24"/>
                <w:highlight w:val="none"/>
                <w14:textFill>
                  <w14:solidFill>
                    <w14:schemeClr w14:val="tx1"/>
                  </w14:solidFill>
                </w14:textFill>
              </w:rPr>
            </w:pPr>
          </w:p>
        </w:tc>
        <w:tc>
          <w:tcPr>
            <w:tcW w:w="5812" w:type="dxa"/>
            <w:noWrap w:val="0"/>
            <w:vAlign w:val="top"/>
          </w:tcPr>
          <w:p>
            <w:pPr>
              <w:spacing w:line="360" w:lineRule="auto"/>
              <w:rPr>
                <w:rFonts w:hint="eastAsia" w:ascii="宋体" w:hAnsi="宋体" w:cs="宋体"/>
                <w:b/>
                <w:bCs/>
                <w:color w:val="000000" w:themeColor="text1"/>
                <w:sz w:val="24"/>
                <w:szCs w:val="21"/>
                <w:highlight w:val="none"/>
                <w14:textFill>
                  <w14:solidFill>
                    <w14:schemeClr w14:val="tx1"/>
                  </w14:solidFill>
                </w14:textFill>
              </w:rPr>
            </w:pPr>
          </w:p>
        </w:tc>
        <w:tc>
          <w:tcPr>
            <w:tcW w:w="992"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c>
          <w:tcPr>
            <w:tcW w:w="850"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c>
          <w:tcPr>
            <w:tcW w:w="851"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pPr>
              <w:widowControl/>
              <w:numPr>
                <w:ilvl w:val="0"/>
                <w:numId w:val="1"/>
              </w:numPr>
              <w:ind w:left="197" w:hanging="197"/>
              <w:jc w:val="center"/>
              <w:rPr>
                <w:rFonts w:hint="eastAsia" w:ascii="宋体" w:hAnsi="宋体" w:cs="宋体"/>
                <w:bCs/>
                <w:color w:val="000000" w:themeColor="text1"/>
                <w:sz w:val="24"/>
                <w:highlight w:val="none"/>
                <w14:textFill>
                  <w14:solidFill>
                    <w14:schemeClr w14:val="tx1"/>
                  </w14:solidFill>
                </w14:textFill>
              </w:rPr>
            </w:pPr>
          </w:p>
        </w:tc>
        <w:tc>
          <w:tcPr>
            <w:tcW w:w="5812" w:type="dxa"/>
            <w:noWrap w:val="0"/>
            <w:vAlign w:val="top"/>
          </w:tcPr>
          <w:p>
            <w:pPr>
              <w:pStyle w:val="2"/>
              <w:keepNext w:val="0"/>
              <w:keepLines w:val="0"/>
              <w:spacing w:before="0" w:after="0" w:line="360" w:lineRule="auto"/>
              <w:jc w:val="left"/>
              <w:rPr>
                <w:rFonts w:hint="eastAsia" w:ascii="宋体" w:hAnsi="宋体" w:cs="宋体"/>
                <w:color w:val="000000" w:themeColor="text1"/>
                <w:sz w:val="24"/>
                <w:szCs w:val="21"/>
                <w:highlight w:val="none"/>
                <w14:textFill>
                  <w14:solidFill>
                    <w14:schemeClr w14:val="tx1"/>
                  </w14:solidFill>
                </w14:textFill>
              </w:rPr>
            </w:pPr>
          </w:p>
        </w:tc>
        <w:tc>
          <w:tcPr>
            <w:tcW w:w="992"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c>
          <w:tcPr>
            <w:tcW w:w="850"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c>
          <w:tcPr>
            <w:tcW w:w="851"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pPr>
              <w:widowControl/>
              <w:numPr>
                <w:ilvl w:val="0"/>
                <w:numId w:val="1"/>
              </w:numPr>
              <w:ind w:left="197" w:hanging="197"/>
              <w:jc w:val="center"/>
              <w:rPr>
                <w:rFonts w:hint="eastAsia" w:ascii="宋体" w:hAnsi="宋体" w:cs="宋体"/>
                <w:bCs/>
                <w:color w:val="000000" w:themeColor="text1"/>
                <w:sz w:val="24"/>
                <w:highlight w:val="none"/>
                <w14:textFill>
                  <w14:solidFill>
                    <w14:schemeClr w14:val="tx1"/>
                  </w14:solidFill>
                </w14:textFill>
              </w:rPr>
            </w:pPr>
          </w:p>
        </w:tc>
        <w:tc>
          <w:tcPr>
            <w:tcW w:w="5812" w:type="dxa"/>
            <w:noWrap w:val="0"/>
            <w:vAlign w:val="top"/>
          </w:tcPr>
          <w:p>
            <w:pPr>
              <w:spacing w:line="360" w:lineRule="auto"/>
              <w:rPr>
                <w:rFonts w:hint="eastAsia" w:ascii="宋体" w:hAnsi="宋体" w:cs="宋体"/>
                <w:b/>
                <w:bCs/>
                <w:color w:val="000000" w:themeColor="text1"/>
                <w:sz w:val="24"/>
                <w:szCs w:val="21"/>
                <w:highlight w:val="none"/>
                <w14:textFill>
                  <w14:solidFill>
                    <w14:schemeClr w14:val="tx1"/>
                  </w14:solidFill>
                </w14:textFill>
              </w:rPr>
            </w:pPr>
          </w:p>
        </w:tc>
        <w:tc>
          <w:tcPr>
            <w:tcW w:w="992"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c>
          <w:tcPr>
            <w:tcW w:w="850"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c>
          <w:tcPr>
            <w:tcW w:w="851" w:type="dxa"/>
            <w:noWrap w:val="0"/>
            <w:vAlign w:val="center"/>
          </w:tcPr>
          <w:p>
            <w:pPr>
              <w:widowControl/>
              <w:jc w:val="center"/>
              <w:rPr>
                <w:rFonts w:hint="eastAsia" w:ascii="宋体" w:hAnsi="宋体" w:cs="宋体"/>
                <w:bCs/>
                <w:color w:val="000000" w:themeColor="text1"/>
                <w:sz w:val="24"/>
                <w:highlight w:val="none"/>
                <w14:textFill>
                  <w14:solidFill>
                    <w14:schemeClr w14:val="tx1"/>
                  </w14:solidFill>
                </w14:textFill>
              </w:rPr>
            </w:pPr>
          </w:p>
        </w:tc>
      </w:tr>
    </w:tbl>
    <w:p>
      <w:pPr>
        <w:rPr>
          <w:rFonts w:hint="eastAsia" w:ascii="宋体" w:hAnsi="宋体" w:cs="宋体"/>
          <w:color w:val="000000" w:themeColor="text1"/>
          <w:sz w:val="24"/>
          <w:highlight w:val="none"/>
          <w14:textFill>
            <w14:solidFill>
              <w14:schemeClr w14:val="tx1"/>
            </w14:solidFill>
          </w14:textFill>
        </w:rPr>
      </w:pPr>
      <w:bookmarkStart w:id="120" w:name="_Toc7958"/>
      <w:r>
        <w:rPr>
          <w:rFonts w:hint="eastAsia" w:ascii="宋体" w:hAnsi="宋体" w:cs="宋体"/>
          <w:color w:val="000000" w:themeColor="text1"/>
          <w:sz w:val="24"/>
          <w:highlight w:val="none"/>
          <w14:textFill>
            <w14:solidFill>
              <w14:schemeClr w14:val="tx1"/>
            </w14:solidFill>
          </w14:textFill>
        </w:rPr>
        <w:t>注：表格中所列带*条款若与采购文件其他部分所列不一致，以采购文件其他部分所列为准，请供应商自行修改补充</w:t>
      </w:r>
    </w:p>
    <w:p>
      <w:pPr>
        <w:pStyle w:val="3"/>
        <w:spacing w:before="120" w:after="120" w:line="36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21" w:name="_Toc518466689"/>
      <w:bookmarkStart w:id="122" w:name="_Toc515448958"/>
      <w:bookmarkStart w:id="123" w:name="_Toc515448371"/>
      <w:bookmarkStart w:id="124" w:name="_Toc481048052"/>
      <w:bookmarkStart w:id="125" w:name="_Toc20533"/>
      <w:bookmarkStart w:id="126" w:name="_Toc481480000"/>
      <w:bookmarkStart w:id="127" w:name="_Toc533519526"/>
      <w:bookmarkStart w:id="128" w:name="_Toc480983545"/>
      <w:bookmarkStart w:id="129" w:name="_Toc482352472"/>
      <w:r>
        <w:rPr>
          <w:rFonts w:hint="eastAsia" w:ascii="宋体" w:hAnsi="宋体" w:cs="宋体"/>
          <w:color w:val="000000" w:themeColor="text1"/>
          <w:sz w:val="28"/>
          <w:szCs w:val="28"/>
          <w:highlight w:val="none"/>
          <w14:textFill>
            <w14:solidFill>
              <w14:schemeClr w14:val="tx1"/>
            </w14:solidFill>
          </w14:textFill>
        </w:rPr>
        <w:t>技术评分条款响应表</w:t>
      </w:r>
      <w:bookmarkEnd w:id="121"/>
      <w:bookmarkEnd w:id="122"/>
      <w:bookmarkEnd w:id="123"/>
      <w:bookmarkEnd w:id="124"/>
      <w:bookmarkEnd w:id="125"/>
      <w:bookmarkEnd w:id="126"/>
      <w:bookmarkEnd w:id="127"/>
      <w:bookmarkEnd w:id="128"/>
      <w:bookmarkEnd w:id="129"/>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供应商名称（加盖公章）：</w:t>
      </w:r>
    </w:p>
    <w:tbl>
      <w:tblPr>
        <w:tblStyle w:val="13"/>
        <w:tblW w:w="9252"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831"/>
        <w:gridCol w:w="98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1"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5831"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983"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报价响应情况</w:t>
            </w:r>
          </w:p>
        </w:tc>
        <w:tc>
          <w:tcPr>
            <w:tcW w:w="1717"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noWrap w:val="0"/>
            <w:vAlign w:val="center"/>
          </w:tcPr>
          <w:p>
            <w:pPr>
              <w:widowControl/>
              <w:numPr>
                <w:ilvl w:val="0"/>
                <w:numId w:val="2"/>
              </w:numPr>
              <w:jc w:val="center"/>
              <w:rPr>
                <w:rFonts w:hint="eastAsia" w:ascii="宋体" w:hAnsi="宋体" w:cs="宋体"/>
                <w:color w:val="000000" w:themeColor="text1"/>
                <w:sz w:val="24"/>
                <w:highlight w:val="none"/>
                <w14:textFill>
                  <w14:solidFill>
                    <w14:schemeClr w14:val="tx1"/>
                  </w14:solidFill>
                </w14:textFill>
              </w:rPr>
            </w:pPr>
          </w:p>
        </w:tc>
        <w:tc>
          <w:tcPr>
            <w:tcW w:w="5831" w:type="dxa"/>
            <w:noWrap w:val="0"/>
            <w:vAlign w:val="top"/>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717"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bl>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注：表格中所列条款应与评分条款逐条对应，对于条款不明确或错误部分评委有权不予采信。</w:t>
      </w:r>
    </w:p>
    <w:p>
      <w:pPr>
        <w:rPr>
          <w:rFonts w:hint="eastAsia" w:ascii="宋体" w:hAnsi="宋体" w:cs="宋体"/>
          <w:color w:val="000000" w:themeColor="text1"/>
          <w:highlight w:val="none"/>
          <w14:textFill>
            <w14:solidFill>
              <w14:schemeClr w14:val="tx1"/>
            </w14:solidFill>
          </w14:textFill>
        </w:rPr>
        <w:sectPr>
          <w:pgSz w:w="11906" w:h="16838"/>
          <w:pgMar w:top="1418" w:right="1531" w:bottom="1418" w:left="1531" w:header="851" w:footer="992" w:gutter="0"/>
          <w:paperSrc w:first="15" w:other="15"/>
          <w:cols w:space="720" w:num="1"/>
          <w:docGrid w:type="lines" w:linePitch="312" w:charSpace="0"/>
        </w:sectPr>
      </w:pPr>
    </w:p>
    <w:p>
      <w:pPr>
        <w:pStyle w:val="3"/>
        <w:spacing w:before="120" w:after="120" w:line="360" w:lineRule="exact"/>
        <w:jc w:val="center"/>
        <w:rPr>
          <w:rFonts w:hint="eastAsia" w:ascii="宋体" w:hAnsi="宋体" w:cs="宋体"/>
          <w:color w:val="000000" w:themeColor="text1"/>
          <w:sz w:val="28"/>
          <w:szCs w:val="28"/>
          <w:highlight w:val="none"/>
          <w14:textFill>
            <w14:solidFill>
              <w14:schemeClr w14:val="tx1"/>
            </w14:solidFill>
          </w14:textFill>
        </w:rPr>
      </w:pPr>
      <w:bookmarkStart w:id="130" w:name="_Toc515448959"/>
      <w:bookmarkStart w:id="131" w:name="_Toc533519527"/>
      <w:bookmarkStart w:id="132" w:name="_Toc482352473"/>
      <w:bookmarkStart w:id="133" w:name="_Toc480983546"/>
      <w:bookmarkStart w:id="134" w:name="_Toc23434"/>
      <w:bookmarkStart w:id="135" w:name="_Toc518466690"/>
      <w:bookmarkStart w:id="136" w:name="_Toc515448372"/>
      <w:bookmarkStart w:id="137" w:name="_Toc481048053"/>
      <w:bookmarkStart w:id="138" w:name="_Toc481480001"/>
      <w:r>
        <w:rPr>
          <w:rFonts w:hint="eastAsia" w:ascii="宋体" w:hAnsi="宋体" w:cs="宋体"/>
          <w:color w:val="000000" w:themeColor="text1"/>
          <w:sz w:val="28"/>
          <w:szCs w:val="28"/>
          <w:highlight w:val="none"/>
          <w14:textFill>
            <w14:solidFill>
              <w14:schemeClr w14:val="tx1"/>
            </w14:solidFill>
          </w14:textFill>
        </w:rPr>
        <w:t>商务评分条款响应表</w:t>
      </w:r>
      <w:bookmarkEnd w:id="130"/>
      <w:bookmarkEnd w:id="131"/>
      <w:bookmarkEnd w:id="132"/>
      <w:bookmarkEnd w:id="133"/>
      <w:bookmarkEnd w:id="134"/>
      <w:bookmarkEnd w:id="135"/>
      <w:bookmarkEnd w:id="136"/>
      <w:bookmarkEnd w:id="137"/>
      <w:bookmarkEnd w:id="138"/>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供应商名称（加盖公章）：</w:t>
      </w:r>
    </w:p>
    <w:tbl>
      <w:tblPr>
        <w:tblStyle w:val="1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5331"/>
        <w:gridCol w:w="117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458"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5331"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1173"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报价响应情况</w:t>
            </w:r>
          </w:p>
        </w:tc>
        <w:tc>
          <w:tcPr>
            <w:tcW w:w="1559" w:type="dxa"/>
            <w:noWrap w:val="0"/>
            <w:vAlign w:val="center"/>
          </w:tcPr>
          <w:p>
            <w:pPr>
              <w:widowControl/>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noWrap w:val="0"/>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5331" w:type="dxa"/>
            <w:noWrap w:val="0"/>
            <w:vAlign w:val="center"/>
          </w:tcPr>
          <w:p>
            <w:pPr>
              <w:spacing w:line="360" w:lineRule="auto"/>
              <w:rPr>
                <w:rFonts w:hint="eastAsia" w:ascii="宋体" w:hAnsi="宋体" w:cs="宋体"/>
                <w:color w:val="000000" w:themeColor="text1"/>
                <w:sz w:val="24"/>
                <w:highlight w:val="none"/>
                <w14:textFill>
                  <w14:solidFill>
                    <w14:schemeClr w14:val="tx1"/>
                  </w14:solidFill>
                </w14:textFill>
              </w:rPr>
            </w:pPr>
          </w:p>
        </w:tc>
        <w:tc>
          <w:tcPr>
            <w:tcW w:w="1173"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c>
          <w:tcPr>
            <w:tcW w:w="1559" w:type="dxa"/>
            <w:noWrap w:val="0"/>
            <w:vAlign w:val="center"/>
          </w:tcPr>
          <w:p>
            <w:pPr>
              <w:widowControl/>
              <w:jc w:val="left"/>
              <w:rPr>
                <w:rFonts w:hint="eastAsia" w:ascii="宋体" w:hAnsi="宋体" w:cs="宋体"/>
                <w:color w:val="000000" w:themeColor="text1"/>
                <w:sz w:val="24"/>
                <w:highlight w:val="none"/>
                <w14:textFill>
                  <w14:solidFill>
                    <w14:schemeClr w14:val="tx1"/>
                  </w14:solidFill>
                </w14:textFill>
              </w:rPr>
            </w:pPr>
          </w:p>
        </w:tc>
      </w:tr>
    </w:tbl>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注：表格中所列条款应与评分条款逐条对应，对于条款不明确或错误部分评委有权不予采信。</w:t>
      </w:r>
    </w:p>
    <w:bookmarkEnd w:id="120"/>
    <w:p>
      <w:pPr>
        <w:rPr>
          <w:color w:val="000000" w:themeColor="text1"/>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560" w:firstLineChars="800"/>
        <w:jc w:val="left"/>
        <w:rPr>
          <w:rFonts w:hint="eastAsia" w:ascii="宋体" w:hAnsi="宋体" w:eastAsia="宋体" w:cs="宋体"/>
          <w:color w:val="000000" w:themeColor="text1"/>
          <w:kern w:val="0"/>
          <w:sz w:val="32"/>
          <w:szCs w:val="32"/>
          <w:highlight w:val="none"/>
          <w14:textFill>
            <w14:solidFill>
              <w14:schemeClr w14:val="tx1"/>
            </w14:solidFill>
          </w14:textFill>
        </w:rPr>
        <w:sectPr>
          <w:footerReference r:id="rId15" w:type="default"/>
          <w:pgSz w:w="11906" w:h="16838"/>
          <w:pgMar w:top="1440" w:right="1800" w:bottom="1440" w:left="1800" w:header="851" w:footer="992" w:gutter="0"/>
          <w:cols w:space="720" w:num="1"/>
          <w:docGrid w:type="lines" w:linePitch="312" w:charSpace="0"/>
        </w:sectPr>
      </w:pPr>
    </w:p>
    <w:p>
      <w:pPr>
        <w:autoSpaceDE w:val="0"/>
        <w:autoSpaceDN w:val="0"/>
        <w:adjustRightInd w:val="0"/>
        <w:spacing w:line="360" w:lineRule="auto"/>
        <w:ind w:firstLine="2560" w:firstLineChars="8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中小企业声明函（货物）</w:t>
      </w:r>
    </w:p>
    <w:p>
      <w:pPr>
        <w:autoSpaceDE w:val="0"/>
        <w:autoSpaceDN w:val="0"/>
        <w:adjustRightInd w:val="0"/>
        <w:spacing w:line="360" w:lineRule="auto"/>
        <w:ind w:firstLine="600" w:firstLineChars="250"/>
        <w:jc w:val="left"/>
        <w:rPr>
          <w:rFonts w:hint="eastAsia"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firstLine="600" w:firstLineChars="2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 </w:t>
      </w:r>
      <w:r>
        <w:rPr>
          <w:rFonts w:hint="eastAsia" w:ascii="宋体" w:hAnsi="宋体" w:eastAsia="宋体" w:cs="宋体"/>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 xml:space="preserve"> ，属于</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工业</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行业；制造商为</w:t>
      </w:r>
      <w:r>
        <w:rPr>
          <w:rFonts w:hint="eastAsia" w:ascii="宋体" w:hAnsi="宋体" w:eastAsia="宋体" w:cs="宋体"/>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w:t>
      </w: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 xml:space="preserve"> ，属于</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工业</w:t>
      </w:r>
      <w:r>
        <w:rPr>
          <w:rFonts w:hint="eastAsia" w:ascii="宋体" w:hAnsi="宋体" w:eastAsia="宋体" w:cs="宋体"/>
          <w:color w:val="000000" w:themeColor="text1"/>
          <w:kern w:val="0"/>
          <w:sz w:val="24"/>
          <w:szCs w:val="24"/>
          <w:highlight w:val="none"/>
          <w:u w:val="singl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行业；制造商为</w:t>
      </w:r>
      <w:r>
        <w:rPr>
          <w:rFonts w:hint="eastAsia" w:ascii="宋体" w:hAnsi="宋体" w:eastAsia="宋体" w:cs="宋体"/>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万元，属于</w:t>
      </w:r>
      <w:r>
        <w:rPr>
          <w:rFonts w:hint="eastAsia" w:ascii="宋体" w:hAnsi="宋体" w:eastAsia="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600" w:firstLineChars="2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360" w:lineRule="auto"/>
        <w:ind w:firstLine="600" w:firstLineChars="2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本公司对上述声明的真实性负责。如有虚假，则本公司同意本次报价作报价无效处理（已成交的，成交无效），采购代理机构有权没收本公司的磋商保证金和</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，且有权上报财政部门，建议财政部门将本公司列入不良行为记录名单，在一至三年内禁止本公司参加采购活动并予以通报</w:t>
      </w:r>
      <w:r>
        <w:rPr>
          <w:rFonts w:hint="eastAsia" w:ascii="宋体" w:hAnsi="宋体" w:eastAsia="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0" w:firstLineChars="20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w:t>
      </w:r>
      <w:r>
        <w:rPr>
          <w:rFonts w:hint="eastAsia" w:ascii="宋体" w:hAnsi="宋体" w:eastAsia="宋体" w:cs="宋体"/>
          <w:color w:val="000000" w:themeColor="text1"/>
          <w:kern w:val="0"/>
          <w:sz w:val="24"/>
          <w:szCs w:val="24"/>
          <w:highlight w:val="none"/>
          <w14:textFill>
            <w14:solidFill>
              <w14:schemeClr w14:val="tx1"/>
            </w14:solidFill>
          </w14:textFill>
        </w:rPr>
        <w:t>（盖章）：</w:t>
      </w:r>
    </w:p>
    <w:p>
      <w:pPr>
        <w:autoSpaceDE w:val="0"/>
        <w:autoSpaceDN w:val="0"/>
        <w:adjustRightInd w:val="0"/>
        <w:spacing w:line="360" w:lineRule="auto"/>
        <w:ind w:firstLine="5640" w:firstLineChars="23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日期：</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vertAlign w:val="superscript"/>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outlineLvl w:val="9"/>
        <w:rPr>
          <w:rFonts w:hint="eastAsia" w:ascii="宋体" w:hAnsi="宋体" w:eastAsia="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rPr>
        <w:rFonts w:hint="eastAsia"/>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70</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107</w:t>
    </w:r>
    <w:r>
      <w:rPr>
        <w:rFonts w:ascii="宋体" w:hAnsi="宋体"/>
      </w:rPr>
      <w:fldChar w:fldCharType="end"/>
    </w:r>
    <w:r>
      <w:rPr>
        <w:rStyle w:val="17"/>
        <w:rFonts w:hint="eastAsia"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71</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107</w:t>
    </w:r>
    <w:r>
      <w:rPr>
        <w:rFonts w:ascii="宋体" w:hAnsi="宋体"/>
      </w:rPr>
      <w:fldChar w:fldCharType="end"/>
    </w:r>
    <w:r>
      <w:rPr>
        <w:rStyle w:val="17"/>
        <w:rFonts w:hint="eastAsia" w:ascii="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420" w:firstLineChars="19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NWY5YjE3NGYzMmZkYTI2NTFkNWYyOGEwODRiNzgifQ=="/>
    <w:docVar w:name="KSO_WPS_MARK_KEY" w:val="33b10e90-3ce8-4e8b-84b8-e74608576242"/>
  </w:docVars>
  <w:rsids>
    <w:rsidRoot w:val="00000000"/>
    <w:rsid w:val="2904051E"/>
    <w:rsid w:val="2E6A46D8"/>
    <w:rsid w:val="301C7B01"/>
    <w:rsid w:val="4022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宋体"/>
      <w:kern w:val="0"/>
      <w:sz w:val="20"/>
      <w:szCs w:val="20"/>
    </w:rPr>
  </w:style>
  <w:style w:type="paragraph" w:styleId="5">
    <w:name w:val="Body Text"/>
    <w:basedOn w:val="1"/>
    <w:qFormat/>
    <w:uiPriority w:val="0"/>
    <w:pPr>
      <w:spacing w:after="120"/>
    </w:pPr>
    <w:rPr>
      <w:szCs w:val="24"/>
    </w:rPr>
  </w:style>
  <w:style w:type="paragraph" w:styleId="6">
    <w:name w:val="Plain Text"/>
    <w:basedOn w:val="1"/>
    <w:qFormat/>
    <w:uiPriority w:val="0"/>
    <w:rPr>
      <w:rFonts w:ascii="宋体" w:hAnsi="Courier New"/>
      <w:kern w:val="0"/>
      <w:sz w:val="20"/>
      <w:szCs w:val="20"/>
    </w:rPr>
  </w:style>
  <w:style w:type="paragraph" w:styleId="7">
    <w:name w:val="Body Text Indent 2"/>
    <w:basedOn w:val="1"/>
    <w:qFormat/>
    <w:uiPriority w:val="0"/>
    <w:pPr>
      <w:spacing w:after="120" w:line="480" w:lineRule="auto"/>
      <w:ind w:left="420" w:leftChars="200"/>
    </w:pPr>
    <w:rPr>
      <w:szCs w:val="24"/>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rFonts w:ascii="Times New Roman" w:hAnsi="Times New Roman"/>
      <w:szCs w:val="24"/>
    </w:rPr>
  </w:style>
  <w:style w:type="paragraph" w:styleId="11">
    <w:name w:val="toc 2"/>
    <w:basedOn w:val="1"/>
    <w:next w:val="1"/>
    <w:qFormat/>
    <w:uiPriority w:val="0"/>
    <w:pPr>
      <w:ind w:left="420" w:leftChars="200"/>
    </w:pPr>
  </w:style>
  <w:style w:type="paragraph" w:styleId="12">
    <w:name w:val="Normal (Web)"/>
    <w:basedOn w:val="1"/>
    <w:unhideWhenUsed/>
    <w:qFormat/>
    <w:uiPriority w:val="99"/>
    <w:rPr>
      <w:rFonts w:ascii="Times New Roman" w:hAnsi="Times New Roman"/>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宋体"/>
    <w:basedOn w:val="12"/>
    <w:qFormat/>
    <w:uiPriority w:val="0"/>
    <w:pPr>
      <w:widowControl/>
      <w:shd w:val="clear" w:color="auto" w:fill="FFFFFF"/>
      <w:ind w:firstLine="480" w:firstLineChars="200"/>
      <w:jc w:val="left"/>
    </w:pPr>
    <w:rPr>
      <w:rFonts w:ascii="宋体" w:hAnsi="宋体" w:cs="宋体"/>
    </w:rPr>
  </w:style>
  <w:style w:type="paragraph" w:customStyle="1" w:styleId="21">
    <w:name w:val="样式3"/>
    <w:basedOn w:val="6"/>
    <w:qFormat/>
    <w:uiPriority w:val="0"/>
    <w:pPr>
      <w:spacing w:line="0" w:lineRule="atLeast"/>
      <w:outlineLvl w:val="0"/>
    </w:pPr>
    <w:rPr>
      <w:sz w:val="28"/>
    </w:rPr>
  </w:style>
  <w:style w:type="paragraph" w:customStyle="1" w:styleId="22">
    <w:name w:val=" Char Char Char Char Char Char Char"/>
    <w:basedOn w:val="1"/>
    <w:qFormat/>
    <w:uiPriority w:val="0"/>
    <w:rPr>
      <w:rFonts w:ascii="Times New Roman" w:hAnsi="Times New Roman"/>
      <w:szCs w:val="24"/>
    </w:rPr>
  </w:style>
  <w:style w:type="paragraph" w:customStyle="1" w:styleId="23">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33492</Words>
  <Characters>35010</Characters>
  <Lines>0</Lines>
  <Paragraphs>0</Paragraphs>
  <TotalTime>2</TotalTime>
  <ScaleCrop>false</ScaleCrop>
  <LinksUpToDate>false</LinksUpToDate>
  <CharactersWithSpaces>38311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2024-05-06T08:40:00Z</dcterms:created>
  <dc:creator>Dell</dc:creator>
  <cp:lastModifiedBy>WPS_1528123779</cp:lastModifiedBy>
  <dcterms:modified xsi:type="dcterms:W3CDTF">2024-05-20T03:07:04Z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F8D92683C3C5434F9C27E0D298A49529_12</vt:lpwstr>
  </property>
</Properties>
</file>