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b/>
          <w:sz w:val="52"/>
          <w:szCs w:val="52"/>
        </w:rPr>
      </w:pPr>
    </w:p>
    <w:p>
      <w:pPr>
        <w:spacing w:line="440" w:lineRule="exact"/>
        <w:jc w:val="center"/>
        <w:rPr>
          <w:b/>
          <w:sz w:val="52"/>
          <w:szCs w:val="52"/>
        </w:rPr>
      </w:pPr>
    </w:p>
    <w:p>
      <w:pPr>
        <w:spacing w:line="440" w:lineRule="exact"/>
        <w:rPr>
          <w:rFonts w:ascii="微软雅黑" w:hAnsi="微软雅黑" w:eastAsia="微软雅黑"/>
          <w:b/>
          <w:sz w:val="52"/>
          <w:szCs w:val="52"/>
        </w:rPr>
      </w:pPr>
    </w:p>
    <w:p>
      <w:pPr>
        <w:spacing w:line="360" w:lineRule="auto"/>
        <w:rPr>
          <w:rFonts w:ascii="微软雅黑" w:hAnsi="微软雅黑" w:eastAsia="微软雅黑"/>
          <w:b/>
          <w:sz w:val="52"/>
          <w:szCs w:val="52"/>
        </w:rPr>
      </w:pPr>
    </w:p>
    <w:p>
      <w:pPr>
        <w:spacing w:line="360" w:lineRule="auto"/>
        <w:jc w:val="center"/>
        <w:rPr>
          <w:b/>
          <w:sz w:val="52"/>
          <w:szCs w:val="52"/>
        </w:rPr>
      </w:pPr>
      <w:r>
        <w:rPr>
          <w:rFonts w:hint="eastAsia" w:asciiTheme="majorEastAsia" w:hAnsiTheme="majorEastAsia" w:eastAsiaTheme="majorEastAsia"/>
          <w:b/>
          <w:sz w:val="52"/>
          <w:szCs w:val="52"/>
          <w:lang w:val="zh-CN"/>
          <w14:shadow w14:blurRad="50800" w14:dist="38100" w14:dir="2700000" w14:sx="100000" w14:sy="100000" w14:kx="0" w14:ky="0" w14:algn="tl">
            <w14:srgbClr w14:val="000000">
              <w14:alpha w14:val="60000"/>
            </w14:srgbClr>
          </w14:shadow>
        </w:rPr>
        <w:t>厦门国际银行个人网银2.0UIUE体验升级项目工作范围需求说明书</w:t>
      </w:r>
    </w:p>
    <w:p>
      <w:pPr>
        <w:spacing w:line="440" w:lineRule="exact"/>
        <w:jc w:val="center"/>
        <w:rPr>
          <w:b/>
          <w:sz w:val="52"/>
          <w:szCs w:val="52"/>
        </w:rPr>
      </w:pPr>
    </w:p>
    <w:p>
      <w:pPr>
        <w:spacing w:line="440" w:lineRule="exact"/>
        <w:jc w:val="center"/>
        <w:rPr>
          <w:b/>
          <w:sz w:val="52"/>
          <w:szCs w:val="52"/>
        </w:rPr>
      </w:pPr>
    </w:p>
    <w:p>
      <w:pPr>
        <w:spacing w:line="440" w:lineRule="exact"/>
        <w:jc w:val="center"/>
        <w:rPr>
          <w:b/>
          <w:sz w:val="52"/>
          <w:szCs w:val="52"/>
        </w:rPr>
      </w:pPr>
    </w:p>
    <w:p>
      <w:pPr>
        <w:spacing w:line="440" w:lineRule="exact"/>
        <w:jc w:val="center"/>
        <w:rPr>
          <w:b/>
          <w:sz w:val="52"/>
          <w:szCs w:val="52"/>
        </w:rPr>
      </w:pPr>
    </w:p>
    <w:p>
      <w:pPr>
        <w:spacing w:line="440" w:lineRule="exact"/>
        <w:jc w:val="center"/>
        <w:rPr>
          <w:b/>
          <w:sz w:val="52"/>
          <w:szCs w:val="52"/>
        </w:rPr>
      </w:pPr>
    </w:p>
    <w:p>
      <w:pPr>
        <w:spacing w:line="440" w:lineRule="exact"/>
        <w:jc w:val="center"/>
        <w:rPr>
          <w:b/>
          <w:sz w:val="52"/>
          <w:szCs w:val="52"/>
        </w:rPr>
      </w:pPr>
    </w:p>
    <w:p>
      <w:pPr>
        <w:spacing w:line="440" w:lineRule="exact"/>
        <w:jc w:val="center"/>
        <w:rPr>
          <w:b/>
          <w:sz w:val="52"/>
          <w:szCs w:val="52"/>
        </w:rPr>
      </w:pPr>
    </w:p>
    <w:p>
      <w:pPr>
        <w:spacing w:line="440" w:lineRule="exact"/>
        <w:jc w:val="center"/>
        <w:rPr>
          <w:b/>
          <w:sz w:val="52"/>
          <w:szCs w:val="52"/>
        </w:rPr>
      </w:pPr>
    </w:p>
    <w:p>
      <w:pPr>
        <w:spacing w:line="440" w:lineRule="exact"/>
        <w:rPr>
          <w:b/>
          <w:sz w:val="52"/>
          <w:szCs w:val="52"/>
        </w:rPr>
      </w:pPr>
    </w:p>
    <w:p>
      <w:pPr>
        <w:spacing w:line="440" w:lineRule="exact"/>
        <w:rPr>
          <w:b/>
          <w:sz w:val="52"/>
          <w:szCs w:val="52"/>
        </w:rPr>
      </w:pPr>
    </w:p>
    <w:p>
      <w:pPr>
        <w:spacing w:line="440" w:lineRule="exact"/>
        <w:rPr>
          <w:b/>
          <w:sz w:val="52"/>
          <w:szCs w:val="52"/>
        </w:rPr>
      </w:pPr>
    </w:p>
    <w:p>
      <w:pPr>
        <w:spacing w:line="440" w:lineRule="exact"/>
        <w:rPr>
          <w:b/>
          <w:sz w:val="52"/>
          <w:szCs w:val="52"/>
        </w:rPr>
      </w:pPr>
    </w:p>
    <w:p>
      <w:pPr>
        <w:spacing w:line="440" w:lineRule="exact"/>
        <w:rPr>
          <w:b/>
          <w:sz w:val="52"/>
          <w:szCs w:val="52"/>
        </w:rPr>
      </w:pPr>
    </w:p>
    <w:p>
      <w:r>
        <w:drawing>
          <wp:anchor distT="0" distB="0" distL="114300" distR="114300" simplePos="0" relativeHeight="251659264" behindDoc="0" locked="0" layoutInCell="1" allowOverlap="1">
            <wp:simplePos x="0" y="0"/>
            <wp:positionH relativeFrom="column">
              <wp:posOffset>1257300</wp:posOffset>
            </wp:positionH>
            <wp:positionV relativeFrom="paragraph">
              <wp:posOffset>228600</wp:posOffset>
            </wp:positionV>
            <wp:extent cx="2905125" cy="58991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05125" cy="589915"/>
                    </a:xfrm>
                    <a:prstGeom prst="rect">
                      <a:avLst/>
                    </a:prstGeom>
                    <a:noFill/>
                    <a:ln>
                      <a:noFill/>
                    </a:ln>
                  </pic:spPr>
                </pic:pic>
              </a:graphicData>
            </a:graphic>
          </wp:anchor>
        </w:drawing>
      </w:r>
    </w:p>
    <w:p>
      <w:pPr>
        <w:spacing w:line="360" w:lineRule="auto"/>
        <w:ind w:firstLine="420"/>
      </w:pPr>
    </w:p>
    <w:p>
      <w:pPr>
        <w:spacing w:line="360" w:lineRule="auto"/>
        <w:ind w:firstLine="420"/>
      </w:pPr>
    </w:p>
    <w:p>
      <w:pPr>
        <w:spacing w:line="360" w:lineRule="auto"/>
        <w:ind w:firstLine="420"/>
      </w:pPr>
    </w:p>
    <w:p>
      <w:pPr>
        <w:pStyle w:val="93"/>
        <w:spacing w:before="800"/>
        <w:ind w:right="-468" w:rightChars="-223" w:firstLine="0" w:firstLineChars="0"/>
        <w:jc w:val="center"/>
        <w:rPr>
          <w:rFonts w:ascii="宋体" w:hAnsi="宋体"/>
          <w:b/>
          <w:sz w:val="30"/>
          <w:szCs w:val="30"/>
          <w:lang w:eastAsia="zh-CN"/>
        </w:rPr>
      </w:pPr>
      <w:r>
        <w:rPr>
          <w:rFonts w:hint="eastAsia" w:ascii="宋体" w:hAnsi="宋体"/>
          <w:b/>
          <w:sz w:val="30"/>
          <w:szCs w:val="30"/>
          <w:lang w:eastAsia="zh-CN"/>
        </w:rPr>
        <w:t>20</w:t>
      </w:r>
      <w:r>
        <w:rPr>
          <w:rFonts w:ascii="宋体" w:hAnsi="宋体"/>
          <w:b/>
          <w:sz w:val="30"/>
          <w:szCs w:val="30"/>
          <w:lang w:eastAsia="zh-CN"/>
        </w:rPr>
        <w:t>2</w:t>
      </w:r>
      <w:r>
        <w:rPr>
          <w:rFonts w:hint="eastAsia" w:ascii="宋体" w:hAnsi="宋体"/>
          <w:b/>
          <w:sz w:val="30"/>
          <w:szCs w:val="30"/>
          <w:lang w:val="en-US" w:eastAsia="zh-CN"/>
        </w:rPr>
        <w:t>4</w:t>
      </w:r>
      <w:r>
        <w:rPr>
          <w:rFonts w:hint="eastAsia" w:ascii="宋体" w:hAnsi="宋体"/>
          <w:b/>
          <w:sz w:val="30"/>
          <w:szCs w:val="30"/>
          <w:lang w:eastAsia="zh-CN"/>
        </w:rPr>
        <w:t>年</w:t>
      </w:r>
      <w:r>
        <w:rPr>
          <w:rFonts w:hint="eastAsia" w:ascii="宋体" w:hAnsi="宋体"/>
          <w:b/>
          <w:sz w:val="30"/>
          <w:szCs w:val="30"/>
          <w:lang w:val="en-US" w:eastAsia="zh-CN"/>
        </w:rPr>
        <w:t>3</w:t>
      </w:r>
      <w:r>
        <w:rPr>
          <w:rFonts w:hint="eastAsia" w:ascii="宋体" w:hAnsi="宋体"/>
          <w:b/>
          <w:sz w:val="30"/>
          <w:szCs w:val="30"/>
          <w:lang w:eastAsia="zh-CN"/>
        </w:rPr>
        <w:t>月</w:t>
      </w:r>
    </w:p>
    <w:p>
      <w:pPr>
        <w:pStyle w:val="75"/>
        <w:ind w:firstLine="0" w:firstLineChars="0"/>
      </w:pPr>
      <w:r>
        <w:br w:type="page"/>
      </w:r>
      <w:bookmarkStart w:id="0" w:name="_Toc13500777"/>
      <w:bookmarkStart w:id="1" w:name="_Toc171130074"/>
    </w:p>
    <w:bookmarkEnd w:id="0"/>
    <w:p>
      <w:pPr>
        <w:pStyle w:val="45"/>
        <w:numPr>
          <w:ilvl w:val="0"/>
          <w:numId w:val="7"/>
        </w:numPr>
        <w:autoSpaceDE w:val="0"/>
        <w:autoSpaceDN w:val="0"/>
        <w:adjustRightInd w:val="0"/>
        <w:spacing w:line="440" w:lineRule="exact"/>
        <w:ind w:firstLineChars="0"/>
        <w:jc w:val="left"/>
        <w:rPr>
          <w:rFonts w:ascii="宋体" w:hAnsi="宋体"/>
          <w:b/>
          <w:sz w:val="32"/>
          <w:szCs w:val="24"/>
        </w:rPr>
      </w:pPr>
      <w:r>
        <w:rPr>
          <w:rFonts w:ascii="宋体" w:hAnsi="宋体"/>
          <w:b/>
          <w:sz w:val="32"/>
          <w:szCs w:val="24"/>
        </w:rPr>
        <w:t>项目综述</w:t>
      </w:r>
    </w:p>
    <w:p>
      <w:pPr>
        <w:autoSpaceDE w:val="0"/>
        <w:autoSpaceDN w:val="0"/>
        <w:adjustRightInd w:val="0"/>
        <w:spacing w:line="440" w:lineRule="exact"/>
        <w:ind w:firstLine="480" w:firstLineChars="200"/>
        <w:jc w:val="left"/>
        <w:rPr>
          <w:rFonts w:hint="eastAsia" w:ascii="宋体" w:hAnsi="宋体"/>
          <w:sz w:val="24"/>
          <w:szCs w:val="24"/>
        </w:rPr>
      </w:pPr>
      <w:r>
        <w:rPr>
          <w:rFonts w:hint="eastAsia" w:ascii="宋体" w:hAnsi="宋体"/>
          <w:sz w:val="24"/>
          <w:szCs w:val="24"/>
        </w:rPr>
        <w:t>个人网银作为本行对客交易服务的主要渠道之一，是承接数字化服务、推动零售业务触达个人客户的重要平台，是银行线上线下联通、协同构建立体化运营网格的重要渠道，是智能精准营销的有力抓手。本行个人网银自2015年上线以来，产品功能已涵盖账户管理、转账汇款、投资理财、个人贷款、客户服务、跨境金融、生活助手等130多个功能模块。个人网银基础功能虽然能够满足大部分客户的使用需求，但面对日新月异的科技变革，在品牌塑造、视觉风格、交互流程、功能架构、内容呈现等用户体验方面仍存在较多痛点、瓶颈与短板。</w:t>
      </w:r>
    </w:p>
    <w:p>
      <w:pPr>
        <w:autoSpaceDE w:val="0"/>
        <w:autoSpaceDN w:val="0"/>
        <w:adjustRightInd w:val="0"/>
        <w:spacing w:line="440" w:lineRule="exact"/>
        <w:ind w:firstLine="480" w:firstLineChars="200"/>
        <w:jc w:val="left"/>
        <w:rPr>
          <w:rFonts w:hint="eastAsia" w:ascii="宋体" w:hAnsi="宋体"/>
          <w:sz w:val="24"/>
          <w:szCs w:val="24"/>
        </w:rPr>
      </w:pPr>
      <w:r>
        <w:rPr>
          <w:rFonts w:hint="eastAsia" w:ascii="宋体" w:hAnsi="宋体"/>
          <w:sz w:val="24"/>
          <w:szCs w:val="24"/>
        </w:rPr>
        <w:t>本行个人网银亟待以“提升客户体验、挖掘潜在价值”为目标，对标先进同业，结合银行金融科技五五规划和客户旅程重塑要求，启动XIB个人网银体验升级项目，顺应市场环境与客户需求变化，以数据分析为依托，对个人网银常用功能进行继承和优化，实现功能精简，重构登录、转账、查询对账、财富类产品购买等高频交易，打造简版个人网银，使功能精准触达，带来沉浸式服务体验，并根据监管要求实现个人网银英文版，有效发挥平台运营价值，进一步促进零售客户转化，为营销获客、服务渠道、产品创新、风险管理注入数字化活力，助力零售业务发展。</w:t>
      </w:r>
    </w:p>
    <w:p>
      <w:pPr>
        <w:pStyle w:val="66"/>
        <w:spacing w:line="440" w:lineRule="exact"/>
        <w:rPr>
          <w:rFonts w:hint="eastAsia" w:ascii="宋体" w:hAnsi="宋体"/>
          <w:sz w:val="24"/>
          <w:szCs w:val="24"/>
        </w:rPr>
      </w:pPr>
      <w:r>
        <w:rPr>
          <w:rFonts w:hint="eastAsia" w:ascii="Calibri" w:hAnsi="Calibri"/>
        </w:rPr>
        <w:t>根据调研，</w:t>
      </w:r>
      <w:r>
        <w:rPr>
          <w:rFonts w:hint="eastAsia"/>
        </w:rPr>
        <w:t>同业如重庆农村商业银行已上线“简版”个人网银，以轻量化的简约设计，向客户提供转账汇款、投资理财、贷款、生活服务等高频实用功能，将个人网银作为手机银行的补充交易渠道。此外，厦门银行已着手推进简版网银的改造实施工作，实现功能精简，为客户提供精准直达的服务。为进一步顺应市场环境和客户需求变化，本次网银改版，以</w:t>
      </w:r>
      <w:r>
        <w:t>数据分析为依托，针对访问频率低下、客户诉求偏冷的服务场景，</w:t>
      </w:r>
      <w:r>
        <w:rPr>
          <w:rFonts w:hint="eastAsia"/>
        </w:rPr>
        <w:t>如大额取现预约、自助填单、网点查询、短信通知管理等</w:t>
      </w:r>
      <w:r>
        <w:t>实施减法策略</w:t>
      </w:r>
      <w:r>
        <w:rPr>
          <w:rFonts w:hint="eastAsia"/>
        </w:rPr>
        <w:t>，仅保留手机银行功能，重点重构登录、账户查询、转账汇款、财富类产品购买等高频交易，以挖掘潜在价值</w:t>
      </w:r>
      <w:r>
        <w:t>为目标</w:t>
      </w:r>
      <w:r>
        <w:rPr>
          <w:rFonts w:hint="eastAsia"/>
        </w:rPr>
        <w:t>，打造“简版”个人网银，</w:t>
      </w:r>
      <w:r>
        <w:t>推出更好看、更易用、更便捷的金融服务</w:t>
      </w:r>
      <w:r>
        <w:rPr>
          <w:rFonts w:hint="eastAsia"/>
        </w:rPr>
        <w:t>。</w:t>
      </w:r>
    </w:p>
    <w:p>
      <w:pPr>
        <w:pStyle w:val="45"/>
        <w:numPr>
          <w:ilvl w:val="0"/>
          <w:numId w:val="7"/>
        </w:numPr>
        <w:autoSpaceDE w:val="0"/>
        <w:autoSpaceDN w:val="0"/>
        <w:adjustRightInd w:val="0"/>
        <w:spacing w:line="440" w:lineRule="exact"/>
        <w:ind w:firstLineChars="0"/>
        <w:jc w:val="left"/>
        <w:rPr>
          <w:rFonts w:ascii="宋体" w:hAnsi="宋体"/>
          <w:b/>
          <w:sz w:val="32"/>
          <w:szCs w:val="24"/>
        </w:rPr>
      </w:pPr>
      <w:bookmarkStart w:id="2" w:name="_Toc13500780"/>
      <w:r>
        <w:rPr>
          <w:rFonts w:hint="eastAsia" w:ascii="宋体" w:hAnsi="宋体"/>
          <w:b/>
          <w:sz w:val="32"/>
          <w:szCs w:val="24"/>
        </w:rPr>
        <w:t>项目</w:t>
      </w:r>
      <w:r>
        <w:rPr>
          <w:rFonts w:ascii="宋体" w:hAnsi="宋体"/>
          <w:b/>
          <w:sz w:val="32"/>
          <w:szCs w:val="24"/>
        </w:rPr>
        <w:t>整体要求</w:t>
      </w:r>
      <w:bookmarkEnd w:id="2"/>
    </w:p>
    <w:p>
      <w:pPr>
        <w:spacing w:line="440" w:lineRule="exact"/>
        <w:ind w:firstLine="480" w:firstLineChars="200"/>
        <w:rPr>
          <w:sz w:val="24"/>
        </w:rPr>
      </w:pPr>
      <w:r>
        <w:rPr>
          <w:rFonts w:hint="eastAsia"/>
          <w:sz w:val="24"/>
        </w:rPr>
        <w:t>本项目各阶段目标为：</w:t>
      </w:r>
    </w:p>
    <w:p>
      <w:pPr>
        <w:pStyle w:val="45"/>
        <w:numPr>
          <w:ilvl w:val="0"/>
          <w:numId w:val="8"/>
        </w:numPr>
        <w:spacing w:line="440" w:lineRule="exact"/>
        <w:ind w:left="0" w:firstLine="567" w:firstLineChars="0"/>
        <w:rPr>
          <w:b/>
        </w:rPr>
      </w:pPr>
      <w:r>
        <w:rPr>
          <w:rFonts w:hint="eastAsia" w:ascii="宋体" w:hAnsi="宋体"/>
          <w:sz w:val="24"/>
          <w:szCs w:val="24"/>
        </w:rPr>
        <w:t>根据</w:t>
      </w:r>
      <w:r>
        <w:rPr>
          <w:rFonts w:hint="eastAsia" w:ascii="宋体" w:hAnsi="宋体"/>
          <w:sz w:val="24"/>
          <w:szCs w:val="21"/>
        </w:rPr>
        <w:t>相关利益者调研、目标用户调研</w:t>
      </w:r>
      <w:r>
        <w:rPr>
          <w:rFonts w:hint="eastAsia" w:ascii="宋体" w:hAnsi="宋体"/>
          <w:sz w:val="24"/>
          <w:szCs w:val="24"/>
        </w:rPr>
        <w:t>以及行业内竞品分析，基于我行品牌、发展战略、服务策略、产品定位、</w:t>
      </w:r>
      <w:r>
        <w:rPr>
          <w:rFonts w:ascii="宋体" w:hAnsi="宋体"/>
          <w:sz w:val="24"/>
          <w:szCs w:val="24"/>
        </w:rPr>
        <w:t>创新方向</w:t>
      </w:r>
      <w:r>
        <w:rPr>
          <w:rFonts w:hint="eastAsia" w:ascii="宋体" w:hAnsi="宋体"/>
          <w:sz w:val="24"/>
          <w:szCs w:val="24"/>
        </w:rPr>
        <w:t>、业务细则需求，设计产品方案；</w:t>
      </w:r>
    </w:p>
    <w:p>
      <w:pPr>
        <w:pStyle w:val="45"/>
        <w:numPr>
          <w:ilvl w:val="0"/>
          <w:numId w:val="8"/>
        </w:numPr>
        <w:spacing w:line="440" w:lineRule="exact"/>
        <w:ind w:left="0" w:firstLine="567" w:firstLineChars="0"/>
        <w:rPr>
          <w:b/>
          <w:sz w:val="24"/>
          <w:szCs w:val="28"/>
        </w:rPr>
      </w:pPr>
      <w:r>
        <w:rPr>
          <w:rFonts w:hint="eastAsia" w:ascii="宋体" w:hAnsi="宋体"/>
          <w:sz w:val="24"/>
          <w:szCs w:val="24"/>
          <w:lang w:val="en-US" w:eastAsia="zh-CN"/>
        </w:rPr>
        <w:t>一阶段</w:t>
      </w:r>
      <w:r>
        <w:rPr>
          <w:rFonts w:hint="eastAsia"/>
          <w:sz w:val="24"/>
          <w:szCs w:val="32"/>
        </w:rPr>
        <w:t>根据厦门人行下发的关于《福建省优化境外来闽人员银行账户服务指引》相关要求，针对个人网银登录、结售汇、跨境汇款、外币兑换等境外人员常用功能开发优化英文版本，满足境外来闽人员账户服务需求。</w:t>
      </w:r>
    </w:p>
    <w:p>
      <w:pPr>
        <w:pStyle w:val="45"/>
        <w:numPr>
          <w:ilvl w:val="0"/>
          <w:numId w:val="8"/>
        </w:numPr>
        <w:spacing w:line="440" w:lineRule="exact"/>
        <w:ind w:left="0" w:firstLine="567" w:firstLineChars="0"/>
        <w:rPr>
          <w:rFonts w:ascii="宋体" w:hAnsi="宋体"/>
          <w:sz w:val="24"/>
          <w:szCs w:val="24"/>
        </w:rPr>
      </w:pPr>
      <w:r>
        <w:rPr>
          <w:rFonts w:hint="eastAsia" w:ascii="宋体" w:hAnsi="宋体"/>
          <w:sz w:val="24"/>
          <w:szCs w:val="24"/>
          <w:lang w:val="en-US" w:eastAsia="zh-CN"/>
        </w:rPr>
        <w:t>二阶段对XIB个人网银整体信息架构、关键业务流程、全局交互和视觉进行全新的重构设计，通过界面重塑、展示内容梳理、业务流程优化、冗余功能去除等方式，对个人网银注册登录、账户管理、转账汇款、财富管理、跨境金融等功能模块进行界面和交互流程迭代升级，精减大额取现预约、自助填单、网点查询、短信通知管理、站内邮箱、个性化设置、现金管理、生活助手等客户使用频率较低的功能，新增如e宝、境内外币转账等功能。</w:t>
      </w:r>
    </w:p>
    <w:p>
      <w:pPr>
        <w:pStyle w:val="45"/>
        <w:numPr>
          <w:ilvl w:val="0"/>
          <w:numId w:val="8"/>
        </w:numPr>
        <w:spacing w:line="440" w:lineRule="exact"/>
        <w:ind w:left="0" w:firstLine="601" w:firstLineChars="0"/>
        <w:rPr>
          <w:rFonts w:ascii="宋体" w:hAnsi="宋体"/>
          <w:sz w:val="24"/>
          <w:szCs w:val="24"/>
        </w:rPr>
      </w:pPr>
      <w:r>
        <w:rPr>
          <w:rFonts w:hint="eastAsia" w:ascii="宋体" w:hAnsi="宋体"/>
          <w:sz w:val="24"/>
          <w:szCs w:val="24"/>
        </w:rPr>
        <w:t>完善新版</w:t>
      </w:r>
      <w:r>
        <w:rPr>
          <w:rFonts w:hint="eastAsia" w:ascii="宋体" w:hAnsi="宋体"/>
          <w:sz w:val="24"/>
          <w:szCs w:val="24"/>
          <w:lang w:val="en-US" w:eastAsia="zh-CN"/>
        </w:rPr>
        <w:t>个人网银</w:t>
      </w:r>
      <w:r>
        <w:rPr>
          <w:rFonts w:hint="eastAsia" w:ascii="宋体" w:hAnsi="宋体"/>
          <w:sz w:val="24"/>
          <w:szCs w:val="24"/>
        </w:rPr>
        <w:t>产品设计规范，建立制度化的管理规范，提升产品开发团队整体交互设计、视觉设计能力；</w:t>
      </w:r>
    </w:p>
    <w:p>
      <w:pPr>
        <w:pStyle w:val="45"/>
        <w:numPr>
          <w:ilvl w:val="0"/>
          <w:numId w:val="8"/>
        </w:numPr>
        <w:spacing w:line="440" w:lineRule="exact"/>
        <w:ind w:left="0" w:firstLine="601" w:firstLineChars="0"/>
        <w:rPr>
          <w:rFonts w:ascii="宋体" w:hAnsi="宋体"/>
          <w:sz w:val="24"/>
          <w:szCs w:val="24"/>
        </w:rPr>
      </w:pPr>
      <w:r>
        <w:rPr>
          <w:rFonts w:hint="eastAsia" w:ascii="宋体" w:hAnsi="宋体"/>
          <w:sz w:val="24"/>
          <w:szCs w:val="24"/>
        </w:rPr>
        <w:t>根据产品研发和产品应用的不同阶段设计制作产品原型及视觉页面，并根据需求优化改进，确保有效提升客户体验；</w:t>
      </w:r>
    </w:p>
    <w:p>
      <w:pPr>
        <w:pStyle w:val="45"/>
        <w:numPr>
          <w:ilvl w:val="0"/>
          <w:numId w:val="8"/>
        </w:numPr>
        <w:spacing w:line="440" w:lineRule="exact"/>
        <w:ind w:left="0" w:firstLine="601" w:firstLineChars="0"/>
        <w:rPr>
          <w:rFonts w:hint="eastAsia" w:ascii="宋体" w:hAnsi="宋体"/>
          <w:sz w:val="24"/>
          <w:szCs w:val="24"/>
        </w:rPr>
      </w:pPr>
      <w:r>
        <w:rPr>
          <w:rFonts w:hint="eastAsia" w:ascii="宋体" w:hAnsi="宋体"/>
          <w:sz w:val="24"/>
          <w:szCs w:val="24"/>
        </w:rPr>
        <w:t>形成产品设计标准库，以提高新版</w:t>
      </w:r>
      <w:r>
        <w:rPr>
          <w:rFonts w:hint="eastAsia" w:ascii="宋体" w:hAnsi="宋体"/>
          <w:sz w:val="24"/>
          <w:szCs w:val="24"/>
          <w:lang w:val="en-US" w:eastAsia="zh-CN"/>
        </w:rPr>
        <w:t>个人网银</w:t>
      </w:r>
      <w:r>
        <w:rPr>
          <w:rFonts w:hint="eastAsia" w:ascii="宋体" w:hAnsi="宋体"/>
          <w:sz w:val="24"/>
          <w:szCs w:val="24"/>
        </w:rPr>
        <w:t>产品的设计一致性及开发工作效率；</w:t>
      </w:r>
    </w:p>
    <w:p>
      <w:pPr>
        <w:pStyle w:val="45"/>
        <w:numPr>
          <w:ilvl w:val="0"/>
          <w:numId w:val="8"/>
        </w:numPr>
        <w:spacing w:line="440" w:lineRule="exact"/>
        <w:ind w:left="0" w:firstLine="567" w:firstLineChars="0"/>
        <w:rPr>
          <w:rFonts w:hint="eastAsia" w:ascii="宋体" w:hAnsi="宋体"/>
          <w:sz w:val="24"/>
          <w:szCs w:val="24"/>
        </w:rPr>
      </w:pPr>
      <w:r>
        <w:rPr>
          <w:rFonts w:hint="eastAsia" w:ascii="宋体" w:hAnsi="宋体"/>
          <w:sz w:val="24"/>
          <w:szCs w:val="21"/>
        </w:rPr>
        <w:t>在投产前对新版</w:t>
      </w:r>
      <w:r>
        <w:rPr>
          <w:rFonts w:hint="eastAsia" w:ascii="宋体" w:hAnsi="宋体"/>
          <w:sz w:val="24"/>
          <w:szCs w:val="21"/>
          <w:lang w:val="en-US" w:eastAsia="zh-CN"/>
        </w:rPr>
        <w:t>个人网银</w:t>
      </w:r>
      <w:r>
        <w:rPr>
          <w:rFonts w:hint="eastAsia" w:ascii="宋体" w:hAnsi="宋体"/>
          <w:sz w:val="24"/>
          <w:szCs w:val="21"/>
        </w:rPr>
        <w:t>进行完整的用户体验测试及评估，根据开发页面进行交互流程逻辑及视觉页面细节进行还原度走查，</w:t>
      </w:r>
      <w:r>
        <w:rPr>
          <w:rFonts w:hint="eastAsia" w:ascii="宋体" w:hAnsi="宋体"/>
          <w:sz w:val="24"/>
          <w:szCs w:val="24"/>
        </w:rPr>
        <w:t>协助进行测试及反馈，并进行相应改进，确保产品在投放的前、中、后期均有良好的用户体验改进。</w:t>
      </w:r>
    </w:p>
    <w:p>
      <w:pPr>
        <w:pStyle w:val="45"/>
        <w:numPr>
          <w:ilvl w:val="0"/>
          <w:numId w:val="7"/>
        </w:numPr>
        <w:autoSpaceDE w:val="0"/>
        <w:autoSpaceDN w:val="0"/>
        <w:adjustRightInd w:val="0"/>
        <w:spacing w:line="360" w:lineRule="auto"/>
        <w:ind w:left="1361" w:firstLineChars="0"/>
        <w:jc w:val="left"/>
        <w:rPr>
          <w:rFonts w:ascii="宋体" w:hAnsi="宋体"/>
          <w:b/>
          <w:sz w:val="32"/>
          <w:szCs w:val="24"/>
        </w:rPr>
      </w:pPr>
      <w:bookmarkStart w:id="3" w:name="_Toc13500781"/>
      <w:r>
        <w:rPr>
          <w:rFonts w:hint="eastAsia" w:ascii="宋体" w:hAnsi="宋体"/>
          <w:b/>
          <w:sz w:val="32"/>
          <w:szCs w:val="24"/>
        </w:rPr>
        <w:t>项目</w:t>
      </w:r>
      <w:bookmarkEnd w:id="3"/>
      <w:r>
        <w:rPr>
          <w:rFonts w:hint="eastAsia" w:ascii="宋体" w:hAnsi="宋体"/>
          <w:b/>
          <w:sz w:val="32"/>
          <w:szCs w:val="24"/>
        </w:rPr>
        <w:t>需求</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具体</w:t>
      </w:r>
      <w:r>
        <w:rPr>
          <w:rFonts w:ascii="宋体" w:hAnsi="宋体"/>
          <w:sz w:val="24"/>
          <w:szCs w:val="24"/>
        </w:rPr>
        <w:t>业务功能如下表：</w:t>
      </w:r>
    </w:p>
    <w:p>
      <w:pPr>
        <w:pStyle w:val="66"/>
        <w:numPr>
          <w:ilvl w:val="0"/>
          <w:numId w:val="9"/>
        </w:numPr>
        <w:rPr>
          <w:b/>
          <w:bCs/>
        </w:rPr>
      </w:pPr>
      <w:r>
        <w:rPr>
          <w:rFonts w:hint="eastAsia"/>
          <w:b/>
          <w:bCs/>
        </w:rPr>
        <w:t>个人网银英文版改造</w:t>
      </w:r>
    </w:p>
    <w:tbl>
      <w:tblPr>
        <w:tblStyle w:val="35"/>
        <w:tblW w:w="0" w:type="auto"/>
        <w:tblInd w:w="1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5"/>
        <w:gridCol w:w="6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shd w:val="clear" w:color="auto" w:fill="95B3D7" w:themeFill="accent1" w:themeFillTint="99"/>
            <w:vAlign w:val="top"/>
          </w:tcPr>
          <w:p>
            <w:pPr>
              <w:widowControl/>
              <w:jc w:val="center"/>
              <w:rPr>
                <w:rFonts w:hint="eastAsia" w:ascii="宋体" w:hAnsi="宋体" w:eastAsia="宋体" w:cs="宋体"/>
                <w:b/>
                <w:bCs/>
                <w:color w:val="000000"/>
                <w:kern w:val="0"/>
                <w:sz w:val="21"/>
                <w:szCs w:val="21"/>
                <w:lang w:val="en-US" w:eastAsia="zh-CN" w:bidi="ar"/>
              </w:rPr>
            </w:pPr>
            <w:r>
              <w:rPr>
                <w:rFonts w:hint="eastAsia" w:ascii="宋体" w:hAnsi="宋体" w:cs="宋体"/>
                <w:b/>
                <w:bCs/>
                <w:color w:val="000000"/>
                <w:kern w:val="0"/>
                <w:szCs w:val="21"/>
                <w:lang w:bidi="ar"/>
              </w:rPr>
              <w:t>模块</w:t>
            </w:r>
          </w:p>
        </w:tc>
        <w:tc>
          <w:tcPr>
            <w:tcW w:w="6885" w:type="dxa"/>
            <w:shd w:val="clear" w:color="auto" w:fill="95B3D7" w:themeFill="accent1" w:themeFillTint="99"/>
            <w:vAlign w:val="top"/>
          </w:tcPr>
          <w:p>
            <w:pPr>
              <w:widowControl/>
              <w:jc w:val="center"/>
              <w:rPr>
                <w:rFonts w:hint="eastAsia" w:ascii="宋体" w:hAnsi="宋体" w:eastAsia="宋体" w:cs="宋体"/>
                <w:b/>
                <w:bCs/>
                <w:color w:val="000000"/>
                <w:kern w:val="0"/>
                <w:sz w:val="21"/>
                <w:szCs w:val="21"/>
                <w:lang w:val="en-US" w:eastAsia="zh-CN" w:bidi="ar"/>
              </w:rPr>
            </w:pPr>
            <w:r>
              <w:rPr>
                <w:rFonts w:hint="eastAsia" w:ascii="宋体" w:hAnsi="宋体" w:cs="宋体"/>
                <w:b/>
                <w:bCs/>
                <w:color w:val="000000"/>
                <w:kern w:val="0"/>
                <w:szCs w:val="21"/>
                <w:lang w:bidi="ar"/>
              </w:rPr>
              <w:t>功能说明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登录</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提供登录、安全退出等功能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转账</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提供智能转账、预约转账、转账明细查询、收款人管理等功能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跨境金融</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提供结售汇、跨境汇款、境内外币转账、外币兑换、汇率查询等功能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客户服务</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提供个人存款证明等功能</w:t>
            </w:r>
          </w:p>
        </w:tc>
      </w:tr>
    </w:tbl>
    <w:p>
      <w:pPr>
        <w:pStyle w:val="66"/>
        <w:ind w:firstLine="0"/>
      </w:pPr>
    </w:p>
    <w:p>
      <w:pPr>
        <w:pStyle w:val="66"/>
        <w:numPr>
          <w:ilvl w:val="0"/>
          <w:numId w:val="9"/>
        </w:numPr>
        <w:rPr>
          <w:b/>
          <w:bCs/>
        </w:rPr>
      </w:pPr>
      <w:r>
        <w:rPr>
          <w:rFonts w:hint="eastAsia"/>
          <w:b/>
          <w:bCs/>
        </w:rPr>
        <w:t>个人网银交互和视觉优化</w:t>
      </w:r>
    </w:p>
    <w:tbl>
      <w:tblPr>
        <w:tblStyle w:val="35"/>
        <w:tblW w:w="0" w:type="auto"/>
        <w:tblInd w:w="1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5"/>
        <w:gridCol w:w="6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shd w:val="clear" w:color="auto" w:fill="95B3D7" w:themeFill="accent1" w:themeFillTint="99"/>
          </w:tcPr>
          <w:p>
            <w:pPr>
              <w:widowControl/>
              <w:jc w:val="center"/>
              <w:rPr>
                <w:rFonts w:ascii="宋体" w:hAnsi="宋体" w:cs="宋体"/>
                <w:b/>
                <w:bCs/>
                <w:color w:val="000000"/>
                <w:kern w:val="0"/>
                <w:szCs w:val="21"/>
                <w:lang w:bidi="ar"/>
              </w:rPr>
            </w:pPr>
            <w:r>
              <w:rPr>
                <w:rFonts w:hint="eastAsia" w:ascii="宋体" w:hAnsi="宋体" w:cs="宋体"/>
                <w:b/>
                <w:bCs/>
                <w:color w:val="000000"/>
                <w:kern w:val="0"/>
                <w:szCs w:val="21"/>
                <w:lang w:bidi="ar"/>
              </w:rPr>
              <w:t>模块</w:t>
            </w:r>
          </w:p>
        </w:tc>
        <w:tc>
          <w:tcPr>
            <w:tcW w:w="6885" w:type="dxa"/>
            <w:shd w:val="clear" w:color="auto" w:fill="95B3D7" w:themeFill="accent1" w:themeFillTint="99"/>
          </w:tcPr>
          <w:p>
            <w:pPr>
              <w:widowControl/>
              <w:jc w:val="center"/>
              <w:rPr>
                <w:rFonts w:ascii="宋体" w:hAnsi="宋体" w:cs="宋体"/>
                <w:b/>
                <w:bCs/>
                <w:color w:val="000000"/>
                <w:kern w:val="0"/>
                <w:szCs w:val="21"/>
                <w:lang w:bidi="ar"/>
              </w:rPr>
            </w:pPr>
            <w:r>
              <w:rPr>
                <w:rFonts w:hint="eastAsia" w:ascii="宋体" w:hAnsi="宋体" w:cs="宋体"/>
                <w:b/>
                <w:bCs/>
                <w:color w:val="000000"/>
                <w:kern w:val="0"/>
                <w:szCs w:val="21"/>
                <w:lang w:bidi="ar"/>
              </w:rPr>
              <w:t>功能说明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注册登录</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提供自助注册、登录、安全退出等功能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账户管理</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提供交易明细查询下载、账户总览、电子回单查询等功能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转账汇款</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提供智能转账、预约转账、批量转账、转账明细查询、超级网银签约、跨行资金归集、收款人管理等功能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财富管理</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提供财富总览、结构性存款、大额存单、定期存款、通知存款、理财、如e宝、基金、朝利宝、周周利支取、利生利支取、风险评估等功能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个人贷款</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提供我的贷款、历史贷款等功能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跨境金融</w:t>
            </w:r>
          </w:p>
        </w:tc>
        <w:tc>
          <w:tcPr>
            <w:tcW w:w="6885" w:type="dxa"/>
          </w:tcPr>
          <w:p>
            <w:pPr>
              <w:jc w:val="left"/>
              <w:rPr>
                <w:rFonts w:ascii="宋体" w:hAnsi="宋体" w:cs="宋体"/>
                <w:color w:val="000000"/>
                <w:kern w:val="0"/>
                <w:szCs w:val="21"/>
              </w:rPr>
            </w:pPr>
            <w:r>
              <w:rPr>
                <w:rFonts w:hint="eastAsia" w:ascii="宋体" w:hAnsi="宋体" w:cs="宋体"/>
                <w:color w:val="000000"/>
                <w:kern w:val="0"/>
                <w:szCs w:val="21"/>
              </w:rPr>
              <w:t>提供结售汇、跨境汇款、境内外币转账、外币兑换、汇率查询等功能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客户服务</w:t>
            </w:r>
          </w:p>
        </w:tc>
        <w:tc>
          <w:tcPr>
            <w:tcW w:w="6885" w:type="dxa"/>
          </w:tcPr>
          <w:p>
            <w:pPr>
              <w:widowControl/>
              <w:jc w:val="left"/>
              <w:rPr>
                <w:rFonts w:ascii="宋体" w:hAnsi="宋体" w:cs="宋体"/>
                <w:color w:val="000000"/>
                <w:kern w:val="0"/>
                <w:szCs w:val="21"/>
              </w:rPr>
            </w:pPr>
            <w:r>
              <w:rPr>
                <w:rFonts w:hint="eastAsia" w:ascii="宋体" w:hAnsi="宋体" w:cs="宋体"/>
                <w:color w:val="000000"/>
                <w:kern w:val="0"/>
                <w:szCs w:val="21"/>
              </w:rPr>
              <w:t>提供个人信息更新、积分服务、个人存款证明等功能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安全中心</w:t>
            </w:r>
          </w:p>
        </w:tc>
        <w:tc>
          <w:tcPr>
            <w:tcW w:w="6885" w:type="dxa"/>
          </w:tcPr>
          <w:p>
            <w:pPr>
              <w:rPr>
                <w:rFonts w:ascii="宋体" w:hAnsi="宋体" w:cs="宋体"/>
                <w:color w:val="000000"/>
                <w:kern w:val="0"/>
                <w:szCs w:val="21"/>
              </w:rPr>
            </w:pPr>
            <w:r>
              <w:rPr>
                <w:rFonts w:hint="eastAsia" w:ascii="宋体" w:hAnsi="宋体" w:cs="宋体"/>
                <w:color w:val="000000"/>
                <w:kern w:val="0"/>
                <w:szCs w:val="21"/>
              </w:rPr>
              <w:t>提供限额设置、账户设置、密码管理、证书更新等功能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Pr>
          <w:p>
            <w:pPr>
              <w:widowControl/>
              <w:jc w:val="left"/>
              <w:rPr>
                <w:rFonts w:ascii="宋体" w:hAnsi="宋体" w:cs="宋体"/>
                <w:color w:val="000000"/>
                <w:kern w:val="0"/>
                <w:szCs w:val="21"/>
              </w:rPr>
            </w:pPr>
            <w:r>
              <w:rPr>
                <w:rFonts w:hint="eastAsia" w:ascii="宋体" w:hAnsi="宋体" w:cs="宋体"/>
                <w:color w:val="000000"/>
                <w:kern w:val="0"/>
                <w:szCs w:val="21"/>
              </w:rPr>
              <w:t>全局功能</w:t>
            </w:r>
          </w:p>
        </w:tc>
        <w:tc>
          <w:tcPr>
            <w:tcW w:w="6885" w:type="dxa"/>
          </w:tcPr>
          <w:p>
            <w:pPr>
              <w:rPr>
                <w:rFonts w:ascii="宋体" w:hAnsi="宋体" w:cs="宋体"/>
                <w:color w:val="000000"/>
                <w:kern w:val="0"/>
                <w:szCs w:val="21"/>
              </w:rPr>
            </w:pPr>
            <w:r>
              <w:rPr>
                <w:rFonts w:hint="eastAsia" w:ascii="宋体" w:hAnsi="宋体" w:cs="宋体"/>
                <w:color w:val="000000"/>
                <w:kern w:val="0"/>
                <w:szCs w:val="21"/>
              </w:rPr>
              <w:t>提供通知公告、广告宣传、智能客服、网银助手等服务</w:t>
            </w:r>
          </w:p>
        </w:tc>
      </w:tr>
    </w:tbl>
    <w:p>
      <w:pPr>
        <w:autoSpaceDE w:val="0"/>
        <w:autoSpaceDN w:val="0"/>
        <w:adjustRightInd w:val="0"/>
        <w:spacing w:line="360" w:lineRule="auto"/>
        <w:ind w:firstLine="480" w:firstLineChars="200"/>
        <w:jc w:val="left"/>
        <w:rPr>
          <w:rFonts w:hint="eastAsia" w:ascii="宋体" w:hAnsi="宋体"/>
          <w:sz w:val="24"/>
          <w:szCs w:val="24"/>
        </w:rPr>
      </w:pPr>
    </w:p>
    <w:p>
      <w:pPr>
        <w:autoSpaceDE w:val="0"/>
        <w:autoSpaceDN w:val="0"/>
        <w:adjustRightInd w:val="0"/>
        <w:spacing w:line="360" w:lineRule="auto"/>
        <w:ind w:firstLine="321" w:firstLineChars="100"/>
        <w:jc w:val="left"/>
        <w:rPr>
          <w:rFonts w:ascii="宋体" w:hAnsi="宋体"/>
          <w:b/>
          <w:sz w:val="32"/>
          <w:szCs w:val="24"/>
        </w:rPr>
      </w:pPr>
      <w:r>
        <w:rPr>
          <w:rFonts w:hint="eastAsia" w:ascii="宋体" w:hAnsi="宋体"/>
          <w:b/>
          <w:sz w:val="32"/>
          <w:szCs w:val="24"/>
        </w:rPr>
        <w:t>四</w:t>
      </w:r>
      <w:r>
        <w:rPr>
          <w:rFonts w:ascii="宋体" w:hAnsi="宋体"/>
          <w:b/>
          <w:sz w:val="32"/>
          <w:szCs w:val="24"/>
        </w:rPr>
        <w:t>、</w:t>
      </w:r>
      <w:r>
        <w:rPr>
          <w:rFonts w:hint="eastAsia" w:ascii="宋体" w:hAnsi="宋体"/>
          <w:b/>
          <w:sz w:val="32"/>
          <w:szCs w:val="24"/>
        </w:rPr>
        <w:t>交付物要求</w:t>
      </w:r>
    </w:p>
    <w:p>
      <w:pPr>
        <w:pStyle w:val="66"/>
        <w:ind w:firstLine="480" w:firstLineChars="200"/>
        <w:rPr>
          <w:lang w:val="zh-CN"/>
        </w:rPr>
      </w:pPr>
      <w:r>
        <w:rPr>
          <w:rFonts w:hint="eastAsia"/>
          <w:lang w:val="zh-CN"/>
        </w:rPr>
        <w:t>本次拟采购的用户体验咨询服务需求各阶段工作要求和交付物要求如下：</w:t>
      </w:r>
    </w:p>
    <w:tbl>
      <w:tblPr>
        <w:tblStyle w:val="34"/>
        <w:tblW w:w="8583" w:type="dxa"/>
        <w:jc w:val="center"/>
        <w:tblLayout w:type="autofit"/>
        <w:tblCellMar>
          <w:top w:w="0" w:type="dxa"/>
          <w:left w:w="0" w:type="dxa"/>
          <w:bottom w:w="0" w:type="dxa"/>
          <w:right w:w="0" w:type="dxa"/>
        </w:tblCellMar>
      </w:tblPr>
      <w:tblGrid>
        <w:gridCol w:w="678"/>
        <w:gridCol w:w="1424"/>
        <w:gridCol w:w="1218"/>
        <w:gridCol w:w="2728"/>
        <w:gridCol w:w="2535"/>
      </w:tblGrid>
      <w:tr>
        <w:tblPrEx>
          <w:tblCellMar>
            <w:top w:w="0" w:type="dxa"/>
            <w:left w:w="0" w:type="dxa"/>
            <w:bottom w:w="0" w:type="dxa"/>
            <w:right w:w="0" w:type="dxa"/>
          </w:tblCellMar>
        </w:tblPrEx>
        <w:trPr>
          <w:trHeight w:val="479" w:hRule="atLeast"/>
          <w:jc w:val="center"/>
        </w:trPr>
        <w:tc>
          <w:tcPr>
            <w:tcW w:w="678" w:type="dxa"/>
            <w:tcBorders>
              <w:top w:val="single" w:color="000000" w:sz="8" w:space="0"/>
              <w:left w:val="single" w:color="000000" w:sz="8" w:space="0"/>
              <w:bottom w:val="single" w:color="000000" w:sz="8" w:space="0"/>
              <w:right w:val="single" w:color="000000" w:sz="8" w:space="0"/>
            </w:tcBorders>
            <w:shd w:val="clear" w:color="auto" w:fill="0070C0"/>
            <w:tcMar>
              <w:top w:w="18" w:type="dxa"/>
              <w:left w:w="69" w:type="dxa"/>
              <w:bottom w:w="18" w:type="dxa"/>
              <w:right w:w="69" w:type="dxa"/>
            </w:tcMar>
            <w:vAlign w:val="center"/>
          </w:tcPr>
          <w:p>
            <w:pPr>
              <w:jc w:val="center"/>
              <w:rPr>
                <w:rFonts w:ascii="宋体" w:hAnsi="宋体"/>
                <w:color w:val="FFFFFF"/>
                <w:kern w:val="0"/>
                <w:sz w:val="24"/>
                <w:szCs w:val="21"/>
              </w:rPr>
            </w:pPr>
            <w:r>
              <w:rPr>
                <w:rFonts w:hint="eastAsia" w:ascii="宋体" w:hAnsi="宋体"/>
                <w:b/>
                <w:bCs/>
                <w:color w:val="FFFFFF"/>
                <w:sz w:val="24"/>
                <w:szCs w:val="21"/>
              </w:rPr>
              <w:t>编号</w:t>
            </w:r>
          </w:p>
        </w:tc>
        <w:tc>
          <w:tcPr>
            <w:tcW w:w="2642" w:type="dxa"/>
            <w:gridSpan w:val="2"/>
            <w:tcBorders>
              <w:top w:val="single" w:color="000000" w:sz="8" w:space="0"/>
              <w:left w:val="nil"/>
              <w:bottom w:val="single" w:color="000000" w:sz="8" w:space="0"/>
              <w:right w:val="single" w:color="000000" w:sz="8" w:space="0"/>
            </w:tcBorders>
            <w:shd w:val="clear" w:color="auto" w:fill="0070C0"/>
            <w:tcMar>
              <w:top w:w="18" w:type="dxa"/>
              <w:left w:w="69" w:type="dxa"/>
              <w:bottom w:w="18" w:type="dxa"/>
              <w:right w:w="69" w:type="dxa"/>
            </w:tcMar>
            <w:vAlign w:val="center"/>
          </w:tcPr>
          <w:p>
            <w:pPr>
              <w:jc w:val="center"/>
              <w:rPr>
                <w:rFonts w:ascii="宋体" w:hAnsi="宋体"/>
                <w:b/>
                <w:bCs/>
                <w:color w:val="FFFFFF"/>
                <w:sz w:val="24"/>
                <w:szCs w:val="21"/>
              </w:rPr>
            </w:pPr>
            <w:r>
              <w:rPr>
                <w:rFonts w:hint="eastAsia" w:ascii="宋体" w:hAnsi="宋体"/>
                <w:b/>
                <w:bCs/>
                <w:color w:val="FFFFFF"/>
                <w:sz w:val="24"/>
                <w:szCs w:val="21"/>
              </w:rPr>
              <w:t>工作阶段</w:t>
            </w:r>
          </w:p>
        </w:tc>
        <w:tc>
          <w:tcPr>
            <w:tcW w:w="2728" w:type="dxa"/>
            <w:tcBorders>
              <w:top w:val="single" w:color="000000" w:sz="8" w:space="0"/>
              <w:left w:val="nil"/>
              <w:bottom w:val="single" w:color="000000" w:sz="8" w:space="0"/>
              <w:right w:val="single" w:color="000000" w:sz="8" w:space="0"/>
            </w:tcBorders>
            <w:shd w:val="clear" w:color="auto" w:fill="0070C0"/>
            <w:vAlign w:val="center"/>
          </w:tcPr>
          <w:p>
            <w:pPr>
              <w:jc w:val="center"/>
              <w:rPr>
                <w:rFonts w:ascii="宋体" w:hAnsi="宋体"/>
                <w:color w:val="FFFFFF"/>
                <w:sz w:val="24"/>
                <w:szCs w:val="21"/>
              </w:rPr>
            </w:pPr>
            <w:r>
              <w:rPr>
                <w:rFonts w:hint="eastAsia" w:ascii="宋体" w:hAnsi="宋体"/>
                <w:b/>
                <w:bCs/>
                <w:color w:val="FFFFFF"/>
                <w:sz w:val="24"/>
                <w:szCs w:val="21"/>
              </w:rPr>
              <w:t>阶段说明</w:t>
            </w:r>
          </w:p>
        </w:tc>
        <w:tc>
          <w:tcPr>
            <w:tcW w:w="2535" w:type="dxa"/>
            <w:tcBorders>
              <w:top w:val="single" w:color="000000" w:sz="8" w:space="0"/>
              <w:left w:val="nil"/>
              <w:bottom w:val="single" w:color="000000" w:sz="8" w:space="0"/>
              <w:right w:val="single" w:color="000000" w:sz="8" w:space="0"/>
            </w:tcBorders>
            <w:shd w:val="clear" w:color="auto" w:fill="0070C0"/>
            <w:vAlign w:val="center"/>
          </w:tcPr>
          <w:p>
            <w:pPr>
              <w:jc w:val="center"/>
              <w:rPr>
                <w:rFonts w:ascii="宋体" w:hAnsi="宋体"/>
                <w:b/>
                <w:bCs/>
                <w:color w:val="FFFFFF"/>
                <w:sz w:val="24"/>
                <w:szCs w:val="21"/>
              </w:rPr>
            </w:pPr>
            <w:r>
              <w:rPr>
                <w:rFonts w:hint="eastAsia" w:ascii="宋体" w:hAnsi="宋体"/>
                <w:b/>
                <w:bCs/>
                <w:color w:val="FFFFFF"/>
                <w:sz w:val="24"/>
                <w:szCs w:val="21"/>
              </w:rPr>
              <w:t>交付物</w:t>
            </w:r>
          </w:p>
        </w:tc>
      </w:tr>
      <w:tr>
        <w:tblPrEx>
          <w:tblCellMar>
            <w:top w:w="0" w:type="dxa"/>
            <w:left w:w="0" w:type="dxa"/>
            <w:bottom w:w="0" w:type="dxa"/>
            <w:right w:w="0" w:type="dxa"/>
          </w:tblCellMar>
        </w:tblPrEx>
        <w:trPr>
          <w:trHeight w:val="2310" w:hRule="atLeast"/>
          <w:jc w:val="center"/>
        </w:trPr>
        <w:tc>
          <w:tcPr>
            <w:tcW w:w="678" w:type="dxa"/>
            <w:vMerge w:val="restart"/>
            <w:tcBorders>
              <w:top w:val="nil"/>
              <w:left w:val="single" w:color="000000" w:sz="8" w:space="0"/>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sz w:val="22"/>
                <w:szCs w:val="21"/>
              </w:rPr>
            </w:pPr>
            <w:r>
              <w:rPr>
                <w:rFonts w:ascii="宋体" w:hAnsi="宋体"/>
                <w:sz w:val="22"/>
                <w:szCs w:val="21"/>
              </w:rPr>
              <w:t>1</w:t>
            </w:r>
          </w:p>
        </w:tc>
        <w:tc>
          <w:tcPr>
            <w:tcW w:w="1424" w:type="dxa"/>
            <w:vMerge w:val="restart"/>
            <w:tcBorders>
              <w:top w:val="nil"/>
              <w:left w:val="nil"/>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b/>
                <w:color w:val="000000"/>
                <w:sz w:val="24"/>
                <w:szCs w:val="21"/>
              </w:rPr>
            </w:pPr>
            <w:r>
              <w:rPr>
                <w:rFonts w:hint="eastAsia" w:ascii="宋体" w:hAnsi="宋体"/>
                <w:b/>
                <w:sz w:val="24"/>
                <w:szCs w:val="21"/>
              </w:rPr>
              <w:t>设计研究与分析</w:t>
            </w:r>
          </w:p>
          <w:p>
            <w:pPr>
              <w:jc w:val="center"/>
              <w:rPr>
                <w:rFonts w:ascii="宋体" w:hAnsi="宋体"/>
                <w:sz w:val="24"/>
                <w:szCs w:val="21"/>
              </w:rPr>
            </w:pP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定义目标</w:t>
            </w:r>
          </w:p>
        </w:tc>
        <w:tc>
          <w:tcPr>
            <w:tcW w:w="2728" w:type="dxa"/>
            <w:tcBorders>
              <w:top w:val="nil"/>
              <w:left w:val="nil"/>
              <w:bottom w:val="single" w:color="auto" w:sz="8" w:space="0"/>
              <w:right w:val="single" w:color="000000" w:sz="8" w:space="0"/>
            </w:tcBorders>
            <w:vAlign w:val="center"/>
          </w:tcPr>
          <w:p>
            <w:pPr>
              <w:autoSpaceDE w:val="0"/>
              <w:autoSpaceDN w:val="0"/>
              <w:ind w:firstLine="480"/>
              <w:jc w:val="left"/>
              <w:rPr>
                <w:rFonts w:ascii="宋体" w:hAnsi="宋体"/>
                <w:sz w:val="24"/>
                <w:szCs w:val="21"/>
              </w:rPr>
            </w:pPr>
            <w:r>
              <w:rPr>
                <w:rFonts w:ascii="宋体" w:hAnsi="宋体"/>
                <w:sz w:val="24"/>
                <w:szCs w:val="21"/>
              </w:rPr>
              <w:t>1</w:t>
            </w:r>
            <w:r>
              <w:rPr>
                <w:rFonts w:hint="eastAsia" w:ascii="宋体" w:hAnsi="宋体"/>
                <w:sz w:val="24"/>
                <w:szCs w:val="21"/>
              </w:rPr>
              <w:t>、定义项目需求、项目核心目标、研究及设计工作范围；</w:t>
            </w:r>
          </w:p>
          <w:p>
            <w:pPr>
              <w:autoSpaceDE w:val="0"/>
              <w:autoSpaceDN w:val="0"/>
              <w:ind w:firstLine="480"/>
              <w:jc w:val="left"/>
              <w:rPr>
                <w:rFonts w:ascii="宋体" w:hAnsi="宋体"/>
                <w:sz w:val="24"/>
                <w:szCs w:val="21"/>
              </w:rPr>
            </w:pPr>
            <w:r>
              <w:rPr>
                <w:rFonts w:ascii="宋体" w:hAnsi="宋体"/>
                <w:sz w:val="24"/>
                <w:szCs w:val="21"/>
              </w:rPr>
              <w:t>2</w:t>
            </w:r>
            <w:r>
              <w:rPr>
                <w:rFonts w:hint="eastAsia" w:ascii="宋体" w:hAnsi="宋体"/>
                <w:sz w:val="24"/>
                <w:szCs w:val="21"/>
              </w:rPr>
              <w:t>、确定研究及设计的工作范围、评估执行计划及关键时间节点；</w:t>
            </w:r>
          </w:p>
          <w:p>
            <w:pPr>
              <w:autoSpaceDE w:val="0"/>
              <w:autoSpaceDN w:val="0"/>
              <w:ind w:firstLine="480"/>
              <w:jc w:val="left"/>
              <w:rPr>
                <w:rFonts w:ascii="宋体" w:hAnsi="宋体"/>
                <w:sz w:val="24"/>
                <w:szCs w:val="21"/>
              </w:rPr>
            </w:pPr>
            <w:r>
              <w:rPr>
                <w:rFonts w:ascii="宋体" w:hAnsi="宋体"/>
                <w:sz w:val="24"/>
                <w:szCs w:val="21"/>
              </w:rPr>
              <w:t>3</w:t>
            </w:r>
            <w:r>
              <w:rPr>
                <w:rFonts w:hint="eastAsia" w:ascii="宋体" w:hAnsi="宋体"/>
                <w:sz w:val="24"/>
                <w:szCs w:val="21"/>
              </w:rPr>
              <w:t>、明确双方对接人、项目合作方式、沟通机制；</w:t>
            </w:r>
          </w:p>
          <w:p>
            <w:pPr>
              <w:autoSpaceDE w:val="0"/>
              <w:autoSpaceDN w:val="0"/>
              <w:ind w:firstLine="480"/>
              <w:jc w:val="left"/>
              <w:rPr>
                <w:rFonts w:ascii="宋体" w:hAnsi="宋体"/>
                <w:sz w:val="24"/>
                <w:szCs w:val="21"/>
              </w:rPr>
            </w:pPr>
            <w:r>
              <w:rPr>
                <w:rFonts w:ascii="宋体" w:hAnsi="宋体"/>
                <w:sz w:val="24"/>
                <w:szCs w:val="21"/>
              </w:rPr>
              <w:t>4</w:t>
            </w:r>
            <w:r>
              <w:rPr>
                <w:rFonts w:hint="eastAsia" w:ascii="宋体" w:hAnsi="宋体"/>
                <w:sz w:val="24"/>
                <w:szCs w:val="21"/>
              </w:rPr>
              <w:t>、讨论风险应变机制并制定解决方案。</w:t>
            </w:r>
          </w:p>
        </w:tc>
        <w:tc>
          <w:tcPr>
            <w:tcW w:w="2535" w:type="dxa"/>
            <w:tcBorders>
              <w:top w:val="nil"/>
              <w:left w:val="nil"/>
              <w:bottom w:val="single" w:color="auto" w:sz="8" w:space="0"/>
              <w:right w:val="single" w:color="000000" w:sz="8" w:space="0"/>
            </w:tcBorders>
            <w:vAlign w:val="center"/>
          </w:tcPr>
          <w:p>
            <w:pPr>
              <w:autoSpaceDE w:val="0"/>
              <w:autoSpaceDN w:val="0"/>
              <w:jc w:val="left"/>
              <w:rPr>
                <w:rFonts w:ascii="宋体" w:hAnsi="宋体"/>
                <w:sz w:val="24"/>
                <w:szCs w:val="21"/>
              </w:rPr>
            </w:pPr>
            <w:r>
              <w:rPr>
                <w:rFonts w:hint="eastAsia" w:ascii="宋体" w:hAnsi="宋体"/>
                <w:sz w:val="24"/>
                <w:szCs w:val="21"/>
              </w:rPr>
              <w:t>《厦门国际银行</w:t>
            </w:r>
            <w:r>
              <w:rPr>
                <w:rFonts w:hint="eastAsia" w:ascii="宋体" w:hAnsi="宋体"/>
                <w:sz w:val="24"/>
                <w:szCs w:val="21"/>
                <w:lang w:val="zh-CN"/>
              </w:rPr>
              <w:t>个人网银2.0UIUE体验升级项目</w:t>
            </w:r>
            <w:r>
              <w:rPr>
                <w:rFonts w:hint="eastAsia" w:ascii="宋体" w:hAnsi="宋体"/>
                <w:sz w:val="24"/>
                <w:szCs w:val="21"/>
              </w:rPr>
              <w:t>实施方案及计划》</w:t>
            </w:r>
            <w:bookmarkStart w:id="4" w:name="_GoBack"/>
            <w:bookmarkEnd w:id="4"/>
          </w:p>
        </w:tc>
      </w:tr>
      <w:tr>
        <w:tblPrEx>
          <w:tblCellMar>
            <w:top w:w="0" w:type="dxa"/>
            <w:left w:w="0" w:type="dxa"/>
            <w:bottom w:w="0" w:type="dxa"/>
            <w:right w:w="0" w:type="dxa"/>
          </w:tblCellMar>
        </w:tblPrEx>
        <w:trPr>
          <w:trHeight w:val="2310" w:hRule="atLeast"/>
          <w:jc w:val="center"/>
        </w:trPr>
        <w:tc>
          <w:tcPr>
            <w:tcW w:w="0" w:type="auto"/>
            <w:vMerge w:val="continue"/>
            <w:tcBorders>
              <w:top w:val="nil"/>
              <w:left w:val="single" w:color="000000" w:sz="8" w:space="0"/>
              <w:bottom w:val="single" w:color="000000" w:sz="8" w:space="0"/>
              <w:right w:val="single" w:color="000000" w:sz="8" w:space="0"/>
            </w:tcBorders>
            <w:vAlign w:val="center"/>
          </w:tcPr>
          <w:p>
            <w:pPr>
              <w:jc w:val="left"/>
              <w:rPr>
                <w:rFonts w:ascii="宋体" w:hAnsi="宋体" w:cs="宋体"/>
                <w:sz w:val="22"/>
                <w:szCs w:val="21"/>
              </w:rPr>
            </w:pPr>
          </w:p>
        </w:tc>
        <w:tc>
          <w:tcPr>
            <w:tcW w:w="0" w:type="auto"/>
            <w:vMerge w:val="continue"/>
            <w:tcBorders>
              <w:top w:val="nil"/>
              <w:left w:val="nil"/>
              <w:bottom w:val="single" w:color="000000" w:sz="8" w:space="0"/>
              <w:right w:val="single" w:color="000000" w:sz="8" w:space="0"/>
            </w:tcBorders>
            <w:vAlign w:val="center"/>
          </w:tcPr>
          <w:p>
            <w:pPr>
              <w:jc w:val="left"/>
              <w:rPr>
                <w:rFonts w:ascii="宋体" w:hAnsi="宋体" w:cs="宋体"/>
                <w:color w:val="000000"/>
                <w:sz w:val="24"/>
                <w:szCs w:val="21"/>
              </w:rPr>
            </w:pP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目标用户调研</w:t>
            </w:r>
          </w:p>
        </w:tc>
        <w:tc>
          <w:tcPr>
            <w:tcW w:w="2728" w:type="dxa"/>
            <w:tcBorders>
              <w:top w:val="nil"/>
              <w:left w:val="nil"/>
              <w:bottom w:val="single" w:color="auto" w:sz="8" w:space="0"/>
              <w:right w:val="single" w:color="000000" w:sz="8" w:space="0"/>
            </w:tcBorders>
            <w:vAlign w:val="center"/>
          </w:tcPr>
          <w:p>
            <w:pPr>
              <w:autoSpaceDE w:val="0"/>
              <w:autoSpaceDN w:val="0"/>
              <w:ind w:firstLine="480"/>
              <w:jc w:val="left"/>
              <w:rPr>
                <w:rFonts w:ascii="宋体" w:hAnsi="宋体"/>
                <w:sz w:val="24"/>
                <w:szCs w:val="21"/>
              </w:rPr>
            </w:pPr>
            <w:r>
              <w:rPr>
                <w:rFonts w:hint="eastAsia" w:ascii="宋体" w:hAnsi="宋体"/>
                <w:sz w:val="24"/>
                <w:szCs w:val="21"/>
              </w:rPr>
              <w:t>整理用户画像，并根据用户年龄、职业、学历、地域、客户行为等，招募客户进行深度访谈。</w:t>
            </w:r>
          </w:p>
        </w:tc>
        <w:tc>
          <w:tcPr>
            <w:tcW w:w="2535" w:type="dxa"/>
            <w:tcBorders>
              <w:top w:val="nil"/>
              <w:left w:val="nil"/>
              <w:bottom w:val="single" w:color="auto" w:sz="8" w:space="0"/>
              <w:right w:val="single" w:color="000000" w:sz="8" w:space="0"/>
            </w:tcBorders>
            <w:vAlign w:val="center"/>
          </w:tcPr>
          <w:p>
            <w:pPr>
              <w:autoSpaceDE w:val="0"/>
              <w:autoSpaceDN w:val="0"/>
              <w:jc w:val="left"/>
              <w:rPr>
                <w:rFonts w:ascii="宋体" w:hAnsi="宋体"/>
                <w:sz w:val="24"/>
                <w:szCs w:val="21"/>
              </w:rPr>
            </w:pPr>
            <w:r>
              <w:rPr>
                <w:rFonts w:hint="eastAsia" w:ascii="宋体" w:hAnsi="宋体"/>
                <w:sz w:val="24"/>
                <w:szCs w:val="21"/>
              </w:rPr>
              <w:t>《厦门国际银行用户研究报告》</w:t>
            </w:r>
          </w:p>
        </w:tc>
      </w:tr>
      <w:tr>
        <w:tblPrEx>
          <w:tblCellMar>
            <w:top w:w="0" w:type="dxa"/>
            <w:left w:w="0" w:type="dxa"/>
            <w:bottom w:w="0" w:type="dxa"/>
            <w:right w:w="0" w:type="dxa"/>
          </w:tblCellMar>
        </w:tblPrEx>
        <w:trPr>
          <w:trHeight w:val="2310" w:hRule="atLeast"/>
          <w:jc w:val="center"/>
        </w:trPr>
        <w:tc>
          <w:tcPr>
            <w:tcW w:w="0" w:type="auto"/>
            <w:vMerge w:val="continue"/>
            <w:tcBorders>
              <w:top w:val="nil"/>
              <w:left w:val="single" w:color="000000" w:sz="8" w:space="0"/>
              <w:bottom w:val="single" w:color="000000" w:sz="8" w:space="0"/>
              <w:right w:val="single" w:color="000000" w:sz="8" w:space="0"/>
            </w:tcBorders>
            <w:vAlign w:val="center"/>
          </w:tcPr>
          <w:p>
            <w:pPr>
              <w:jc w:val="left"/>
              <w:rPr>
                <w:rFonts w:ascii="宋体" w:hAnsi="宋体" w:cs="宋体"/>
                <w:sz w:val="22"/>
                <w:szCs w:val="21"/>
              </w:rPr>
            </w:pPr>
          </w:p>
        </w:tc>
        <w:tc>
          <w:tcPr>
            <w:tcW w:w="0" w:type="auto"/>
            <w:vMerge w:val="continue"/>
            <w:tcBorders>
              <w:top w:val="nil"/>
              <w:left w:val="nil"/>
              <w:bottom w:val="single" w:color="000000" w:sz="8" w:space="0"/>
              <w:right w:val="single" w:color="000000" w:sz="8" w:space="0"/>
            </w:tcBorders>
            <w:vAlign w:val="center"/>
          </w:tcPr>
          <w:p>
            <w:pPr>
              <w:jc w:val="left"/>
              <w:rPr>
                <w:rFonts w:ascii="宋体" w:hAnsi="宋体" w:cs="宋体"/>
                <w:color w:val="000000"/>
                <w:sz w:val="24"/>
                <w:szCs w:val="21"/>
              </w:rPr>
            </w:pP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竞品分析</w:t>
            </w:r>
          </w:p>
        </w:tc>
        <w:tc>
          <w:tcPr>
            <w:tcW w:w="2728" w:type="dxa"/>
            <w:tcBorders>
              <w:top w:val="nil"/>
              <w:left w:val="nil"/>
              <w:bottom w:val="single" w:color="000000" w:sz="8" w:space="0"/>
              <w:right w:val="single" w:color="000000" w:sz="8" w:space="0"/>
            </w:tcBorders>
            <w:vAlign w:val="center"/>
          </w:tcPr>
          <w:p>
            <w:pPr>
              <w:autoSpaceDE w:val="0"/>
              <w:autoSpaceDN w:val="0"/>
              <w:ind w:firstLine="480"/>
              <w:jc w:val="left"/>
              <w:rPr>
                <w:rFonts w:ascii="宋体" w:hAnsi="宋体"/>
                <w:sz w:val="24"/>
                <w:szCs w:val="21"/>
              </w:rPr>
            </w:pPr>
            <w:r>
              <w:rPr>
                <w:rFonts w:hint="eastAsia" w:ascii="宋体" w:hAnsi="宋体"/>
                <w:sz w:val="24"/>
                <w:szCs w:val="21"/>
              </w:rPr>
              <w:t>分析同业</w:t>
            </w:r>
            <w:r>
              <w:rPr>
                <w:rFonts w:hint="eastAsia" w:ascii="宋体" w:hAnsi="宋体"/>
                <w:sz w:val="24"/>
                <w:szCs w:val="21"/>
                <w:lang w:val="en-US" w:eastAsia="zh-CN"/>
              </w:rPr>
              <w:t>个人网银</w:t>
            </w:r>
            <w:r>
              <w:rPr>
                <w:rFonts w:hint="eastAsia" w:ascii="宋体" w:hAnsi="宋体"/>
                <w:sz w:val="24"/>
                <w:szCs w:val="21"/>
              </w:rPr>
              <w:t>产品，发现行业设计趋势及设计策略。</w:t>
            </w:r>
          </w:p>
        </w:tc>
        <w:tc>
          <w:tcPr>
            <w:tcW w:w="2535" w:type="dxa"/>
            <w:tcBorders>
              <w:top w:val="nil"/>
              <w:left w:val="nil"/>
              <w:bottom w:val="single" w:color="000000" w:sz="8" w:space="0"/>
              <w:right w:val="single" w:color="000000" w:sz="8" w:space="0"/>
            </w:tcBorders>
            <w:vAlign w:val="center"/>
          </w:tcPr>
          <w:p>
            <w:pPr>
              <w:autoSpaceDE w:val="0"/>
              <w:autoSpaceDN w:val="0"/>
              <w:jc w:val="left"/>
              <w:rPr>
                <w:rFonts w:ascii="宋体" w:hAnsi="宋体"/>
                <w:sz w:val="24"/>
                <w:szCs w:val="21"/>
              </w:rPr>
            </w:pPr>
            <w:r>
              <w:rPr>
                <w:rFonts w:hint="eastAsia" w:ascii="宋体" w:hAnsi="宋体"/>
                <w:sz w:val="24"/>
                <w:szCs w:val="21"/>
              </w:rPr>
              <w:t>《竞品研究报告》</w:t>
            </w:r>
          </w:p>
        </w:tc>
      </w:tr>
      <w:tr>
        <w:tblPrEx>
          <w:tblCellMar>
            <w:top w:w="0" w:type="dxa"/>
            <w:left w:w="0" w:type="dxa"/>
            <w:bottom w:w="0" w:type="dxa"/>
            <w:right w:w="0" w:type="dxa"/>
          </w:tblCellMar>
        </w:tblPrEx>
        <w:trPr>
          <w:trHeight w:val="2200" w:hRule="atLeast"/>
          <w:jc w:val="center"/>
        </w:trPr>
        <w:tc>
          <w:tcPr>
            <w:tcW w:w="678" w:type="dxa"/>
            <w:vMerge w:val="restart"/>
            <w:tcBorders>
              <w:top w:val="nil"/>
              <w:left w:val="single" w:color="000000" w:sz="8" w:space="0"/>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sz w:val="22"/>
                <w:szCs w:val="21"/>
              </w:rPr>
            </w:pPr>
            <w:r>
              <w:rPr>
                <w:rFonts w:ascii="宋体" w:hAnsi="宋体"/>
                <w:sz w:val="22"/>
                <w:szCs w:val="21"/>
              </w:rPr>
              <w:t>2</w:t>
            </w:r>
          </w:p>
        </w:tc>
        <w:tc>
          <w:tcPr>
            <w:tcW w:w="1424" w:type="dxa"/>
            <w:vMerge w:val="restart"/>
            <w:tcBorders>
              <w:top w:val="nil"/>
              <w:left w:val="nil"/>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b/>
                <w:sz w:val="24"/>
                <w:szCs w:val="21"/>
              </w:rPr>
            </w:pPr>
            <w:r>
              <w:rPr>
                <w:rFonts w:hint="eastAsia" w:ascii="宋体" w:hAnsi="宋体"/>
                <w:b/>
                <w:sz w:val="24"/>
                <w:szCs w:val="21"/>
              </w:rPr>
              <w:t>概念设计</w:t>
            </w:r>
          </w:p>
          <w:p>
            <w:pPr>
              <w:jc w:val="center"/>
              <w:rPr>
                <w:rFonts w:ascii="宋体" w:hAnsi="宋体"/>
                <w:sz w:val="24"/>
                <w:szCs w:val="21"/>
              </w:rPr>
            </w:pP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信息架构及交互概念设计</w:t>
            </w:r>
          </w:p>
        </w:tc>
        <w:tc>
          <w:tcPr>
            <w:tcW w:w="2728" w:type="dxa"/>
            <w:tcBorders>
              <w:top w:val="nil"/>
              <w:left w:val="nil"/>
              <w:bottom w:val="nil"/>
              <w:right w:val="single" w:color="000000" w:sz="8" w:space="0"/>
            </w:tcBorders>
            <w:vAlign w:val="center"/>
          </w:tcPr>
          <w:p>
            <w:pPr>
              <w:ind w:firstLine="480"/>
              <w:jc w:val="left"/>
              <w:rPr>
                <w:rFonts w:ascii="宋体" w:hAnsi="宋体"/>
                <w:sz w:val="24"/>
                <w:szCs w:val="21"/>
              </w:rPr>
            </w:pPr>
            <w:r>
              <w:rPr>
                <w:rFonts w:ascii="宋体" w:hAnsi="宋体"/>
                <w:sz w:val="24"/>
                <w:szCs w:val="21"/>
              </w:rPr>
              <w:t>1</w:t>
            </w:r>
            <w:r>
              <w:rPr>
                <w:rFonts w:hint="eastAsia" w:ascii="宋体" w:hAnsi="宋体"/>
                <w:sz w:val="24"/>
                <w:szCs w:val="21"/>
              </w:rPr>
              <w:t>、结合第一阶段输出，确定我行</w:t>
            </w:r>
            <w:r>
              <w:rPr>
                <w:rFonts w:hint="eastAsia" w:ascii="宋体" w:hAnsi="宋体"/>
                <w:sz w:val="24"/>
                <w:szCs w:val="21"/>
                <w:lang w:val="en-US" w:eastAsia="zh-CN"/>
              </w:rPr>
              <w:t>个人网银2.0</w:t>
            </w:r>
            <w:r>
              <w:rPr>
                <w:rFonts w:hint="eastAsia" w:ascii="宋体" w:hAnsi="宋体"/>
                <w:sz w:val="24"/>
                <w:szCs w:val="21"/>
              </w:rPr>
              <w:t>产品品牌定位、创新机会点；结合用户体验专家评估完成用户体验改版需求及信息架构梳理；</w:t>
            </w:r>
          </w:p>
          <w:p>
            <w:pPr>
              <w:ind w:firstLine="480"/>
              <w:jc w:val="left"/>
              <w:rPr>
                <w:rFonts w:ascii="宋体" w:hAnsi="宋体"/>
                <w:sz w:val="24"/>
                <w:szCs w:val="21"/>
              </w:rPr>
            </w:pPr>
            <w:r>
              <w:rPr>
                <w:rFonts w:ascii="宋体" w:hAnsi="宋体"/>
                <w:sz w:val="24"/>
                <w:szCs w:val="21"/>
              </w:rPr>
              <w:t>2</w:t>
            </w:r>
            <w:r>
              <w:rPr>
                <w:rFonts w:hint="eastAsia" w:ascii="宋体" w:hAnsi="宋体"/>
                <w:sz w:val="24"/>
                <w:szCs w:val="21"/>
              </w:rPr>
              <w:t>、根据前期访谈输出及头脑风暴结果，进行体验流程及视觉风格的探索及设计，规划整体信息架构、优化核心页面、探索及规划总体视觉设计风格。</w:t>
            </w:r>
          </w:p>
        </w:tc>
        <w:tc>
          <w:tcPr>
            <w:tcW w:w="2535" w:type="dxa"/>
            <w:tcBorders>
              <w:top w:val="nil"/>
              <w:left w:val="nil"/>
              <w:bottom w:val="nil"/>
              <w:right w:val="single" w:color="000000" w:sz="8" w:space="0"/>
            </w:tcBorders>
            <w:vAlign w:val="center"/>
          </w:tcPr>
          <w:p>
            <w:pPr>
              <w:jc w:val="left"/>
              <w:rPr>
                <w:rFonts w:ascii="宋体" w:hAnsi="宋体"/>
                <w:sz w:val="24"/>
                <w:szCs w:val="21"/>
              </w:rPr>
            </w:pPr>
            <w:r>
              <w:rPr>
                <w:rFonts w:hint="eastAsia" w:ascii="宋体" w:hAnsi="宋体"/>
                <w:sz w:val="24"/>
                <w:szCs w:val="21"/>
              </w:rPr>
              <w:t>《体验策略报告》</w:t>
            </w:r>
          </w:p>
        </w:tc>
      </w:tr>
      <w:tr>
        <w:tblPrEx>
          <w:tblCellMar>
            <w:top w:w="0" w:type="dxa"/>
            <w:left w:w="0" w:type="dxa"/>
            <w:bottom w:w="0" w:type="dxa"/>
            <w:right w:w="0" w:type="dxa"/>
          </w:tblCellMar>
        </w:tblPrEx>
        <w:trPr>
          <w:trHeight w:val="2200" w:hRule="atLeast"/>
          <w:jc w:val="center"/>
        </w:trPr>
        <w:tc>
          <w:tcPr>
            <w:tcW w:w="0" w:type="auto"/>
            <w:vMerge w:val="continue"/>
            <w:tcBorders>
              <w:top w:val="nil"/>
              <w:left w:val="single" w:color="000000" w:sz="8" w:space="0"/>
              <w:bottom w:val="single" w:color="000000" w:sz="8" w:space="0"/>
              <w:right w:val="single" w:color="000000" w:sz="8" w:space="0"/>
            </w:tcBorders>
            <w:vAlign w:val="center"/>
          </w:tcPr>
          <w:p>
            <w:pPr>
              <w:jc w:val="left"/>
              <w:rPr>
                <w:rFonts w:ascii="宋体" w:hAnsi="宋体" w:cs="宋体"/>
                <w:color w:val="000000"/>
                <w:sz w:val="22"/>
                <w:szCs w:val="21"/>
              </w:rPr>
            </w:pPr>
          </w:p>
        </w:tc>
        <w:tc>
          <w:tcPr>
            <w:tcW w:w="0" w:type="auto"/>
            <w:vMerge w:val="continue"/>
            <w:tcBorders>
              <w:top w:val="nil"/>
              <w:left w:val="nil"/>
              <w:bottom w:val="single" w:color="000000" w:sz="8" w:space="0"/>
              <w:right w:val="single" w:color="000000" w:sz="8" w:space="0"/>
            </w:tcBorders>
            <w:vAlign w:val="center"/>
          </w:tcPr>
          <w:p>
            <w:pPr>
              <w:jc w:val="left"/>
              <w:rPr>
                <w:rFonts w:ascii="宋体" w:hAnsi="宋体" w:cs="宋体"/>
                <w:color w:val="000000"/>
                <w:sz w:val="24"/>
                <w:szCs w:val="21"/>
              </w:rPr>
            </w:pPr>
          </w:p>
        </w:tc>
        <w:tc>
          <w:tcPr>
            <w:tcW w:w="1218" w:type="dxa"/>
            <w:tcBorders>
              <w:top w:val="nil"/>
              <w:left w:val="nil"/>
              <w:bottom w:val="single" w:color="auto" w:sz="8" w:space="0"/>
              <w:right w:val="single" w:color="000000" w:sz="8" w:space="0"/>
            </w:tcBorders>
          </w:tcPr>
          <w:p>
            <w:pPr>
              <w:jc w:val="center"/>
              <w:rPr>
                <w:rFonts w:ascii="宋体" w:hAnsi="宋体"/>
                <w:sz w:val="24"/>
                <w:szCs w:val="21"/>
              </w:rPr>
            </w:pPr>
            <w:r>
              <w:rPr>
                <w:rFonts w:hint="eastAsia" w:ascii="宋体" w:hAnsi="宋体"/>
                <w:sz w:val="24"/>
                <w:szCs w:val="21"/>
              </w:rPr>
              <w:t>交互</w:t>
            </w:r>
          </w:p>
          <w:p>
            <w:pPr>
              <w:jc w:val="center"/>
              <w:rPr>
                <w:rFonts w:ascii="宋体" w:hAnsi="宋体"/>
                <w:sz w:val="24"/>
                <w:szCs w:val="21"/>
              </w:rPr>
            </w:pPr>
            <w:r>
              <w:rPr>
                <w:rFonts w:hint="eastAsia" w:ascii="宋体" w:hAnsi="宋体"/>
                <w:sz w:val="24"/>
                <w:szCs w:val="21"/>
              </w:rPr>
              <w:t>概念设计</w:t>
            </w:r>
          </w:p>
        </w:tc>
        <w:tc>
          <w:tcPr>
            <w:tcW w:w="2728" w:type="dxa"/>
            <w:tcBorders>
              <w:top w:val="single" w:color="auto" w:sz="8" w:space="0"/>
              <w:left w:val="nil"/>
              <w:bottom w:val="single" w:color="auto" w:sz="8" w:space="0"/>
              <w:right w:val="single" w:color="000000" w:sz="8" w:space="0"/>
            </w:tcBorders>
            <w:vAlign w:val="center"/>
          </w:tcPr>
          <w:p>
            <w:pPr>
              <w:ind w:firstLine="480"/>
              <w:jc w:val="left"/>
              <w:rPr>
                <w:rFonts w:ascii="宋体" w:hAnsi="宋体"/>
                <w:sz w:val="24"/>
                <w:szCs w:val="21"/>
              </w:rPr>
            </w:pPr>
            <w:r>
              <w:rPr>
                <w:rFonts w:hint="eastAsia" w:ascii="宋体" w:hAnsi="宋体"/>
                <w:sz w:val="24"/>
                <w:szCs w:val="21"/>
              </w:rPr>
              <w:t>依据《体验策略报告》，确定</w:t>
            </w:r>
            <w:r>
              <w:rPr>
                <w:rFonts w:hint="eastAsia" w:ascii="宋体" w:hAnsi="宋体"/>
                <w:sz w:val="24"/>
                <w:szCs w:val="21"/>
                <w:lang w:val="en-US" w:eastAsia="zh-CN"/>
              </w:rPr>
              <w:t>个人网银2.0</w:t>
            </w:r>
            <w:r>
              <w:rPr>
                <w:rFonts w:hint="eastAsia" w:ascii="宋体" w:hAnsi="宋体"/>
                <w:sz w:val="24"/>
                <w:szCs w:val="21"/>
              </w:rPr>
              <w:t>交互设计策略、信息架构、核心流程，针对一级频道产出低保真交互原型。（不少于</w:t>
            </w:r>
            <w:r>
              <w:rPr>
                <w:rFonts w:ascii="宋体" w:hAnsi="宋体"/>
                <w:sz w:val="24"/>
                <w:szCs w:val="21"/>
              </w:rPr>
              <w:t>2</w:t>
            </w:r>
            <w:r>
              <w:rPr>
                <w:rFonts w:hint="eastAsia" w:ascii="宋体" w:hAnsi="宋体"/>
                <w:sz w:val="24"/>
                <w:szCs w:val="21"/>
              </w:rPr>
              <w:t>个交互概念设计方向）。</w:t>
            </w:r>
          </w:p>
        </w:tc>
        <w:tc>
          <w:tcPr>
            <w:tcW w:w="2535" w:type="dxa"/>
            <w:tcBorders>
              <w:top w:val="single" w:color="auto" w:sz="8" w:space="0"/>
              <w:left w:val="nil"/>
              <w:bottom w:val="single" w:color="auto" w:sz="8" w:space="0"/>
              <w:right w:val="single" w:color="000000" w:sz="8" w:space="0"/>
            </w:tcBorders>
            <w:vAlign w:val="center"/>
          </w:tcPr>
          <w:p>
            <w:pPr>
              <w:jc w:val="left"/>
              <w:rPr>
                <w:rFonts w:ascii="宋体" w:hAnsi="宋体"/>
                <w:sz w:val="24"/>
                <w:szCs w:val="21"/>
              </w:rPr>
            </w:pPr>
            <w:r>
              <w:rPr>
                <w:rFonts w:hint="eastAsia" w:ascii="宋体" w:hAnsi="宋体"/>
                <w:sz w:val="24"/>
                <w:szCs w:val="21"/>
              </w:rPr>
              <w:t>《交互概念设计》</w:t>
            </w:r>
          </w:p>
        </w:tc>
      </w:tr>
      <w:tr>
        <w:tblPrEx>
          <w:tblCellMar>
            <w:top w:w="0" w:type="dxa"/>
            <w:left w:w="0" w:type="dxa"/>
            <w:bottom w:w="0" w:type="dxa"/>
            <w:right w:w="0" w:type="dxa"/>
          </w:tblCellMar>
        </w:tblPrEx>
        <w:trPr>
          <w:trHeight w:val="2200" w:hRule="atLeast"/>
          <w:jc w:val="center"/>
        </w:trPr>
        <w:tc>
          <w:tcPr>
            <w:tcW w:w="0" w:type="auto"/>
            <w:vMerge w:val="continue"/>
            <w:tcBorders>
              <w:top w:val="nil"/>
              <w:left w:val="single" w:color="000000" w:sz="8" w:space="0"/>
              <w:bottom w:val="single" w:color="000000" w:sz="8" w:space="0"/>
              <w:right w:val="single" w:color="000000" w:sz="8" w:space="0"/>
            </w:tcBorders>
            <w:vAlign w:val="center"/>
          </w:tcPr>
          <w:p>
            <w:pPr>
              <w:jc w:val="left"/>
              <w:rPr>
                <w:rFonts w:ascii="宋体" w:hAnsi="宋体" w:cs="宋体"/>
                <w:color w:val="000000"/>
                <w:sz w:val="22"/>
                <w:szCs w:val="21"/>
              </w:rPr>
            </w:pPr>
          </w:p>
        </w:tc>
        <w:tc>
          <w:tcPr>
            <w:tcW w:w="0" w:type="auto"/>
            <w:vMerge w:val="continue"/>
            <w:tcBorders>
              <w:top w:val="nil"/>
              <w:left w:val="nil"/>
              <w:bottom w:val="single" w:color="000000" w:sz="8" w:space="0"/>
              <w:right w:val="single" w:color="000000" w:sz="8" w:space="0"/>
            </w:tcBorders>
            <w:vAlign w:val="center"/>
          </w:tcPr>
          <w:p>
            <w:pPr>
              <w:jc w:val="left"/>
              <w:rPr>
                <w:rFonts w:ascii="宋体" w:hAnsi="宋体" w:cs="宋体"/>
                <w:color w:val="000000"/>
                <w:sz w:val="24"/>
                <w:szCs w:val="21"/>
              </w:rPr>
            </w:pP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视觉</w:t>
            </w:r>
          </w:p>
          <w:p>
            <w:pPr>
              <w:jc w:val="center"/>
              <w:rPr>
                <w:rFonts w:ascii="宋体" w:hAnsi="宋体"/>
                <w:sz w:val="24"/>
                <w:szCs w:val="21"/>
              </w:rPr>
            </w:pPr>
            <w:r>
              <w:rPr>
                <w:rFonts w:hint="eastAsia" w:ascii="宋体" w:hAnsi="宋体"/>
                <w:sz w:val="24"/>
                <w:szCs w:val="21"/>
              </w:rPr>
              <w:t>概念设计</w:t>
            </w:r>
          </w:p>
        </w:tc>
        <w:tc>
          <w:tcPr>
            <w:tcW w:w="2728" w:type="dxa"/>
            <w:tcBorders>
              <w:top w:val="nil"/>
              <w:left w:val="nil"/>
              <w:bottom w:val="single" w:color="000000" w:sz="8" w:space="0"/>
              <w:right w:val="single" w:color="000000" w:sz="8" w:space="0"/>
            </w:tcBorders>
            <w:vAlign w:val="center"/>
          </w:tcPr>
          <w:p>
            <w:pPr>
              <w:ind w:firstLine="480"/>
              <w:jc w:val="left"/>
              <w:rPr>
                <w:rFonts w:ascii="宋体" w:hAnsi="宋体"/>
                <w:sz w:val="24"/>
                <w:szCs w:val="21"/>
              </w:rPr>
            </w:pPr>
            <w:r>
              <w:rPr>
                <w:rFonts w:ascii="宋体" w:hAnsi="宋体"/>
                <w:sz w:val="24"/>
                <w:szCs w:val="21"/>
              </w:rPr>
              <w:t>1</w:t>
            </w:r>
            <w:r>
              <w:rPr>
                <w:rFonts w:hint="eastAsia" w:ascii="宋体" w:hAnsi="宋体"/>
                <w:sz w:val="24"/>
                <w:szCs w:val="21"/>
              </w:rPr>
              <w:t>、针对一级频道产出高保真视觉原型（不少于</w:t>
            </w:r>
            <w:r>
              <w:rPr>
                <w:rFonts w:ascii="宋体" w:hAnsi="宋体"/>
                <w:sz w:val="24"/>
                <w:szCs w:val="21"/>
              </w:rPr>
              <w:t>2</w:t>
            </w:r>
            <w:r>
              <w:rPr>
                <w:rFonts w:hint="eastAsia" w:ascii="宋体" w:hAnsi="宋体"/>
                <w:sz w:val="24"/>
                <w:szCs w:val="21"/>
              </w:rPr>
              <w:t>个视觉概念设计方向）。</w:t>
            </w:r>
          </w:p>
          <w:p>
            <w:pPr>
              <w:ind w:firstLine="480"/>
              <w:jc w:val="left"/>
              <w:rPr>
                <w:rFonts w:ascii="宋体" w:hAnsi="宋体"/>
                <w:sz w:val="24"/>
                <w:szCs w:val="21"/>
              </w:rPr>
            </w:pPr>
            <w:r>
              <w:rPr>
                <w:rFonts w:ascii="宋体" w:hAnsi="宋体"/>
                <w:sz w:val="24"/>
                <w:szCs w:val="21"/>
              </w:rPr>
              <w:t>2</w:t>
            </w:r>
            <w:r>
              <w:rPr>
                <w:rFonts w:hint="eastAsia" w:ascii="宋体" w:hAnsi="宋体"/>
                <w:sz w:val="24"/>
                <w:szCs w:val="21"/>
              </w:rPr>
              <w:t>、形成概念设计汇报材料，向行方进行汇报。</w:t>
            </w:r>
          </w:p>
        </w:tc>
        <w:tc>
          <w:tcPr>
            <w:tcW w:w="2535" w:type="dxa"/>
            <w:tcBorders>
              <w:top w:val="nil"/>
              <w:left w:val="nil"/>
              <w:bottom w:val="single" w:color="000000" w:sz="8" w:space="0"/>
              <w:right w:val="single" w:color="000000" w:sz="8" w:space="0"/>
            </w:tcBorders>
            <w:vAlign w:val="center"/>
          </w:tcPr>
          <w:p>
            <w:pPr>
              <w:jc w:val="left"/>
              <w:rPr>
                <w:rFonts w:ascii="宋体" w:hAnsi="宋体"/>
                <w:sz w:val="24"/>
                <w:szCs w:val="21"/>
              </w:rPr>
            </w:pPr>
            <w:r>
              <w:rPr>
                <w:rFonts w:hint="eastAsia" w:ascii="宋体" w:hAnsi="宋体"/>
                <w:sz w:val="24"/>
                <w:szCs w:val="21"/>
              </w:rPr>
              <w:t>《视觉概念设计》</w:t>
            </w:r>
          </w:p>
          <w:p>
            <w:pPr>
              <w:jc w:val="left"/>
              <w:rPr>
                <w:rFonts w:ascii="宋体" w:hAnsi="宋体"/>
                <w:sz w:val="24"/>
                <w:szCs w:val="21"/>
              </w:rPr>
            </w:pPr>
            <w:r>
              <w:rPr>
                <w:rFonts w:hint="eastAsia" w:ascii="宋体" w:hAnsi="宋体"/>
                <w:sz w:val="24"/>
                <w:szCs w:val="21"/>
              </w:rPr>
              <w:t>《概念设计汇报材料》</w:t>
            </w:r>
          </w:p>
        </w:tc>
      </w:tr>
      <w:tr>
        <w:tblPrEx>
          <w:tblCellMar>
            <w:top w:w="0" w:type="dxa"/>
            <w:left w:w="0" w:type="dxa"/>
            <w:bottom w:w="0" w:type="dxa"/>
            <w:right w:w="0" w:type="dxa"/>
          </w:tblCellMar>
        </w:tblPrEx>
        <w:trPr>
          <w:trHeight w:val="2520" w:hRule="atLeast"/>
          <w:jc w:val="center"/>
        </w:trPr>
        <w:tc>
          <w:tcPr>
            <w:tcW w:w="678" w:type="dxa"/>
            <w:vMerge w:val="restart"/>
            <w:tcBorders>
              <w:top w:val="nil"/>
              <w:left w:val="single" w:color="000000" w:sz="8" w:space="0"/>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sz w:val="22"/>
                <w:szCs w:val="21"/>
              </w:rPr>
            </w:pPr>
            <w:r>
              <w:rPr>
                <w:rFonts w:ascii="宋体" w:hAnsi="宋体"/>
                <w:sz w:val="22"/>
                <w:szCs w:val="21"/>
              </w:rPr>
              <w:t>3</w:t>
            </w:r>
          </w:p>
        </w:tc>
        <w:tc>
          <w:tcPr>
            <w:tcW w:w="1424" w:type="dxa"/>
            <w:vMerge w:val="restart"/>
            <w:tcBorders>
              <w:top w:val="nil"/>
              <w:left w:val="nil"/>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b/>
                <w:sz w:val="24"/>
                <w:szCs w:val="21"/>
              </w:rPr>
            </w:pPr>
            <w:r>
              <w:rPr>
                <w:rFonts w:hint="eastAsia" w:ascii="宋体" w:hAnsi="宋体"/>
                <w:b/>
                <w:sz w:val="24"/>
                <w:szCs w:val="21"/>
              </w:rPr>
              <w:t>详细设计</w:t>
            </w:r>
          </w:p>
          <w:p>
            <w:pPr>
              <w:jc w:val="center"/>
              <w:rPr>
                <w:rFonts w:ascii="宋体" w:hAnsi="宋体"/>
                <w:sz w:val="24"/>
                <w:szCs w:val="21"/>
              </w:rPr>
            </w:pPr>
          </w:p>
        </w:tc>
        <w:tc>
          <w:tcPr>
            <w:tcW w:w="1218" w:type="dxa"/>
            <w:tcBorders>
              <w:top w:val="nil"/>
              <w:left w:val="nil"/>
              <w:bottom w:val="single" w:color="auto" w:sz="8" w:space="0"/>
              <w:right w:val="single" w:color="000000" w:sz="8" w:space="0"/>
            </w:tcBorders>
          </w:tcPr>
          <w:p>
            <w:pPr>
              <w:autoSpaceDE w:val="0"/>
              <w:autoSpaceDN w:val="0"/>
              <w:jc w:val="center"/>
              <w:rPr>
                <w:rFonts w:ascii="宋体" w:hAnsi="宋体"/>
                <w:sz w:val="24"/>
                <w:szCs w:val="21"/>
              </w:rPr>
            </w:pPr>
            <w:r>
              <w:rPr>
                <w:rFonts w:hint="eastAsia" w:ascii="宋体" w:hAnsi="宋体"/>
                <w:sz w:val="24"/>
                <w:szCs w:val="21"/>
              </w:rPr>
              <w:t>详细交互设计</w:t>
            </w:r>
          </w:p>
        </w:tc>
        <w:tc>
          <w:tcPr>
            <w:tcW w:w="2728" w:type="dxa"/>
            <w:tcBorders>
              <w:top w:val="nil"/>
              <w:left w:val="nil"/>
              <w:bottom w:val="single" w:color="auto" w:sz="8" w:space="0"/>
              <w:right w:val="single" w:color="auto" w:sz="8" w:space="0"/>
            </w:tcBorders>
            <w:vAlign w:val="center"/>
          </w:tcPr>
          <w:p>
            <w:pPr>
              <w:autoSpaceDE w:val="0"/>
              <w:autoSpaceDN w:val="0"/>
              <w:ind w:firstLine="482"/>
              <w:jc w:val="left"/>
              <w:rPr>
                <w:rFonts w:ascii="宋体" w:hAnsi="宋体"/>
                <w:sz w:val="24"/>
                <w:szCs w:val="21"/>
              </w:rPr>
            </w:pPr>
            <w:r>
              <w:rPr>
                <w:rFonts w:hint="eastAsia" w:ascii="宋体" w:hAnsi="宋体"/>
                <w:sz w:val="24"/>
                <w:szCs w:val="21"/>
              </w:rPr>
              <w:t>完成所有核心界面及流程的布局方式、操作逻辑、交互说明、特殊状态展示及引导。</w:t>
            </w:r>
          </w:p>
        </w:tc>
        <w:tc>
          <w:tcPr>
            <w:tcW w:w="2535" w:type="dxa"/>
            <w:tcBorders>
              <w:top w:val="nil"/>
              <w:left w:val="nil"/>
              <w:bottom w:val="single" w:color="auto" w:sz="8" w:space="0"/>
              <w:right w:val="single" w:color="000000" w:sz="8" w:space="0"/>
            </w:tcBorders>
            <w:vAlign w:val="center"/>
          </w:tcPr>
          <w:p>
            <w:pPr>
              <w:autoSpaceDE w:val="0"/>
              <w:autoSpaceDN w:val="0"/>
              <w:jc w:val="left"/>
              <w:rPr>
                <w:rFonts w:ascii="宋体" w:hAnsi="宋体"/>
                <w:sz w:val="24"/>
                <w:szCs w:val="21"/>
              </w:rPr>
            </w:pPr>
            <w:r>
              <w:rPr>
                <w:rFonts w:hint="eastAsia" w:ascii="宋体" w:hAnsi="宋体"/>
                <w:sz w:val="24"/>
                <w:szCs w:val="21"/>
              </w:rPr>
              <w:t>《交互设计文档》</w:t>
            </w:r>
          </w:p>
          <w:p>
            <w:pPr>
              <w:autoSpaceDE w:val="0"/>
              <w:autoSpaceDN w:val="0"/>
              <w:jc w:val="left"/>
              <w:rPr>
                <w:rFonts w:ascii="宋体" w:hAnsi="宋体"/>
                <w:sz w:val="24"/>
                <w:szCs w:val="21"/>
              </w:rPr>
            </w:pPr>
            <w:r>
              <w:rPr>
                <w:rFonts w:hint="eastAsia" w:ascii="宋体" w:hAnsi="宋体"/>
                <w:sz w:val="24"/>
                <w:szCs w:val="21"/>
              </w:rPr>
              <w:t>《交互设计源文件》</w:t>
            </w:r>
          </w:p>
        </w:tc>
      </w:tr>
      <w:tr>
        <w:tblPrEx>
          <w:tblCellMar>
            <w:top w:w="0" w:type="dxa"/>
            <w:left w:w="0" w:type="dxa"/>
            <w:bottom w:w="0" w:type="dxa"/>
            <w:right w:w="0" w:type="dxa"/>
          </w:tblCellMar>
        </w:tblPrEx>
        <w:trPr>
          <w:trHeight w:val="2520" w:hRule="atLeast"/>
          <w:jc w:val="center"/>
        </w:trPr>
        <w:tc>
          <w:tcPr>
            <w:tcW w:w="0" w:type="auto"/>
            <w:vMerge w:val="continue"/>
            <w:tcBorders>
              <w:top w:val="nil"/>
              <w:left w:val="single" w:color="000000" w:sz="8" w:space="0"/>
              <w:bottom w:val="single" w:color="000000" w:sz="8" w:space="0"/>
              <w:right w:val="single" w:color="000000" w:sz="8" w:space="0"/>
            </w:tcBorders>
            <w:vAlign w:val="center"/>
          </w:tcPr>
          <w:p>
            <w:pPr>
              <w:jc w:val="left"/>
              <w:rPr>
                <w:rFonts w:ascii="宋体" w:hAnsi="宋体" w:cs="宋体"/>
                <w:color w:val="000000"/>
                <w:sz w:val="22"/>
                <w:szCs w:val="21"/>
              </w:rPr>
            </w:pPr>
          </w:p>
        </w:tc>
        <w:tc>
          <w:tcPr>
            <w:tcW w:w="0" w:type="auto"/>
            <w:vMerge w:val="continue"/>
            <w:tcBorders>
              <w:top w:val="nil"/>
              <w:left w:val="nil"/>
              <w:bottom w:val="single" w:color="000000" w:sz="8" w:space="0"/>
              <w:right w:val="single" w:color="000000" w:sz="8" w:space="0"/>
            </w:tcBorders>
            <w:vAlign w:val="center"/>
          </w:tcPr>
          <w:p>
            <w:pPr>
              <w:jc w:val="left"/>
              <w:rPr>
                <w:rFonts w:ascii="宋体" w:hAnsi="宋体" w:cs="宋体"/>
                <w:color w:val="000000"/>
                <w:sz w:val="24"/>
                <w:szCs w:val="21"/>
              </w:rPr>
            </w:pPr>
          </w:p>
        </w:tc>
        <w:tc>
          <w:tcPr>
            <w:tcW w:w="1218" w:type="dxa"/>
            <w:tcBorders>
              <w:top w:val="nil"/>
              <w:left w:val="nil"/>
              <w:bottom w:val="single" w:color="000000" w:sz="8" w:space="0"/>
              <w:right w:val="single" w:color="000000" w:sz="8" w:space="0"/>
            </w:tcBorders>
          </w:tcPr>
          <w:p>
            <w:pPr>
              <w:autoSpaceDE w:val="0"/>
              <w:autoSpaceDN w:val="0"/>
              <w:jc w:val="center"/>
              <w:rPr>
                <w:rFonts w:ascii="宋体" w:hAnsi="宋体"/>
                <w:sz w:val="24"/>
                <w:szCs w:val="21"/>
              </w:rPr>
            </w:pPr>
            <w:r>
              <w:rPr>
                <w:rFonts w:hint="eastAsia" w:ascii="宋体" w:hAnsi="宋体"/>
                <w:sz w:val="24"/>
                <w:szCs w:val="21"/>
              </w:rPr>
              <w:t>详细视觉设计及设计规范</w:t>
            </w:r>
          </w:p>
        </w:tc>
        <w:tc>
          <w:tcPr>
            <w:tcW w:w="2728" w:type="dxa"/>
            <w:tcBorders>
              <w:top w:val="nil"/>
              <w:left w:val="nil"/>
              <w:bottom w:val="single" w:color="000000" w:sz="8" w:space="0"/>
              <w:right w:val="single" w:color="000000" w:sz="8" w:space="0"/>
            </w:tcBorders>
            <w:vAlign w:val="center"/>
          </w:tcPr>
          <w:p>
            <w:pPr>
              <w:autoSpaceDE w:val="0"/>
              <w:autoSpaceDN w:val="0"/>
              <w:ind w:firstLine="482"/>
              <w:jc w:val="left"/>
              <w:rPr>
                <w:rFonts w:ascii="宋体" w:hAnsi="宋体"/>
                <w:sz w:val="24"/>
                <w:szCs w:val="21"/>
              </w:rPr>
            </w:pPr>
            <w:r>
              <w:rPr>
                <w:rFonts w:ascii="宋体" w:hAnsi="宋体"/>
                <w:sz w:val="24"/>
                <w:szCs w:val="21"/>
              </w:rPr>
              <w:t>1</w:t>
            </w:r>
            <w:r>
              <w:rPr>
                <w:rFonts w:hint="eastAsia" w:ascii="宋体" w:hAnsi="宋体"/>
                <w:sz w:val="24"/>
                <w:szCs w:val="21"/>
              </w:rPr>
              <w:t>、针对</w:t>
            </w:r>
            <w:r>
              <w:rPr>
                <w:rFonts w:hint="eastAsia" w:ascii="宋体" w:hAnsi="宋体"/>
                <w:sz w:val="24"/>
                <w:szCs w:val="21"/>
                <w:lang w:val="en-US" w:eastAsia="zh-CN"/>
              </w:rPr>
              <w:t>个人网银</w:t>
            </w:r>
            <w:r>
              <w:rPr>
                <w:rFonts w:hint="eastAsia" w:ascii="宋体" w:hAnsi="宋体"/>
                <w:sz w:val="24"/>
                <w:szCs w:val="21"/>
              </w:rPr>
              <w:t>（</w:t>
            </w:r>
            <w:r>
              <w:rPr>
                <w:rFonts w:hint="eastAsia" w:ascii="宋体" w:hAnsi="宋体"/>
                <w:sz w:val="24"/>
                <w:szCs w:val="21"/>
                <w:lang w:val="en-US" w:eastAsia="zh-CN"/>
              </w:rPr>
              <w:t>800</w:t>
            </w:r>
            <w:r>
              <w:rPr>
                <w:rFonts w:hint="eastAsia" w:ascii="宋体" w:hAnsi="宋体"/>
                <w:sz w:val="24"/>
                <w:szCs w:val="21"/>
              </w:rPr>
              <w:t>至</w:t>
            </w:r>
            <w:r>
              <w:rPr>
                <w:rFonts w:hint="eastAsia" w:ascii="宋体" w:hAnsi="宋体"/>
                <w:sz w:val="24"/>
                <w:szCs w:val="21"/>
                <w:lang w:val="en-US" w:eastAsia="zh-CN"/>
              </w:rPr>
              <w:t>1000</w:t>
            </w:r>
            <w:r>
              <w:rPr>
                <w:rFonts w:hint="eastAsia" w:ascii="宋体" w:hAnsi="宋体"/>
                <w:sz w:val="24"/>
                <w:szCs w:val="21"/>
              </w:rPr>
              <w:t>个页面）进行视觉设计的延展和丰富，包含各个界面的视觉设计、</w:t>
            </w:r>
            <w:r>
              <w:rPr>
                <w:rFonts w:ascii="宋体" w:hAnsi="宋体"/>
                <w:sz w:val="24"/>
                <w:szCs w:val="21"/>
              </w:rPr>
              <w:t>Icon</w:t>
            </w:r>
            <w:r>
              <w:rPr>
                <w:rFonts w:hint="eastAsia" w:ascii="宋体" w:hAnsi="宋体"/>
                <w:sz w:val="24"/>
                <w:szCs w:val="21"/>
              </w:rPr>
              <w:t>和按钮设计、微动效设计。</w:t>
            </w:r>
          </w:p>
          <w:p>
            <w:pPr>
              <w:autoSpaceDE w:val="0"/>
              <w:autoSpaceDN w:val="0"/>
              <w:ind w:firstLine="482"/>
              <w:jc w:val="left"/>
              <w:rPr>
                <w:rFonts w:ascii="宋体" w:hAnsi="宋体"/>
                <w:sz w:val="24"/>
                <w:szCs w:val="21"/>
              </w:rPr>
            </w:pPr>
            <w:r>
              <w:rPr>
                <w:rFonts w:ascii="宋体" w:hAnsi="宋体"/>
                <w:sz w:val="24"/>
                <w:szCs w:val="21"/>
              </w:rPr>
              <w:t>2</w:t>
            </w:r>
            <w:r>
              <w:rPr>
                <w:rFonts w:hint="eastAsia" w:ascii="宋体" w:hAnsi="宋体"/>
                <w:sz w:val="24"/>
                <w:szCs w:val="21"/>
              </w:rPr>
              <w:t>、根据详细设计稿完成设计规范撰写。</w:t>
            </w:r>
          </w:p>
        </w:tc>
        <w:tc>
          <w:tcPr>
            <w:tcW w:w="2535" w:type="dxa"/>
            <w:tcBorders>
              <w:top w:val="nil"/>
              <w:left w:val="nil"/>
              <w:bottom w:val="single" w:color="000000" w:sz="8" w:space="0"/>
              <w:right w:val="single" w:color="000000" w:sz="8" w:space="0"/>
            </w:tcBorders>
            <w:vAlign w:val="center"/>
          </w:tcPr>
          <w:p>
            <w:pPr>
              <w:autoSpaceDE w:val="0"/>
              <w:autoSpaceDN w:val="0"/>
              <w:jc w:val="left"/>
              <w:rPr>
                <w:rFonts w:ascii="宋体" w:hAnsi="宋体"/>
                <w:sz w:val="24"/>
                <w:szCs w:val="21"/>
              </w:rPr>
            </w:pPr>
            <w:r>
              <w:rPr>
                <w:rFonts w:hint="eastAsia" w:ascii="宋体" w:hAnsi="宋体"/>
                <w:sz w:val="24"/>
                <w:szCs w:val="21"/>
              </w:rPr>
              <w:t>《视觉设计源文件》</w:t>
            </w:r>
          </w:p>
          <w:p>
            <w:pPr>
              <w:autoSpaceDE w:val="0"/>
              <w:autoSpaceDN w:val="0"/>
              <w:jc w:val="left"/>
              <w:rPr>
                <w:rFonts w:ascii="宋体" w:hAnsi="宋体"/>
                <w:sz w:val="24"/>
                <w:szCs w:val="21"/>
              </w:rPr>
            </w:pPr>
            <w:r>
              <w:rPr>
                <w:rFonts w:hint="eastAsia" w:ascii="宋体" w:hAnsi="宋体"/>
                <w:sz w:val="24"/>
                <w:szCs w:val="21"/>
              </w:rPr>
              <w:t>《切图素材与界面尺寸标注》</w:t>
            </w:r>
          </w:p>
          <w:p>
            <w:pPr>
              <w:autoSpaceDE w:val="0"/>
              <w:autoSpaceDN w:val="0"/>
              <w:jc w:val="left"/>
              <w:rPr>
                <w:rFonts w:ascii="宋体" w:hAnsi="宋体"/>
                <w:sz w:val="24"/>
                <w:szCs w:val="21"/>
              </w:rPr>
            </w:pPr>
            <w:r>
              <w:rPr>
                <w:rFonts w:hint="eastAsia" w:ascii="宋体" w:hAnsi="宋体"/>
                <w:sz w:val="24"/>
                <w:szCs w:val="21"/>
              </w:rPr>
              <w:t>《厦门国际银行</w:t>
            </w:r>
            <w:r>
              <w:rPr>
                <w:rFonts w:hint="eastAsia" w:ascii="宋体" w:hAnsi="宋体"/>
                <w:sz w:val="24"/>
                <w:szCs w:val="21"/>
                <w:lang w:val="en-US" w:eastAsia="zh-CN"/>
              </w:rPr>
              <w:t>个人网银2.0</w:t>
            </w:r>
            <w:r>
              <w:rPr>
                <w:rFonts w:hint="eastAsia" w:ascii="宋体" w:hAnsi="宋体"/>
                <w:sz w:val="24"/>
                <w:szCs w:val="21"/>
              </w:rPr>
              <w:t>视觉设计规范文档》</w:t>
            </w:r>
          </w:p>
        </w:tc>
      </w:tr>
      <w:tr>
        <w:tblPrEx>
          <w:tblCellMar>
            <w:top w:w="0" w:type="dxa"/>
            <w:left w:w="0" w:type="dxa"/>
            <w:bottom w:w="0" w:type="dxa"/>
            <w:right w:w="0" w:type="dxa"/>
          </w:tblCellMar>
        </w:tblPrEx>
        <w:trPr>
          <w:trHeight w:val="790" w:hRule="atLeast"/>
          <w:jc w:val="center"/>
        </w:trPr>
        <w:tc>
          <w:tcPr>
            <w:tcW w:w="678" w:type="dxa"/>
            <w:tcBorders>
              <w:top w:val="nil"/>
              <w:left w:val="single" w:color="000000" w:sz="8" w:space="0"/>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sz w:val="22"/>
                <w:szCs w:val="21"/>
              </w:rPr>
            </w:pPr>
            <w:r>
              <w:rPr>
                <w:rFonts w:ascii="宋体" w:hAnsi="宋体"/>
                <w:sz w:val="22"/>
                <w:szCs w:val="21"/>
              </w:rPr>
              <w:t>4</w:t>
            </w:r>
          </w:p>
        </w:tc>
        <w:tc>
          <w:tcPr>
            <w:tcW w:w="1424" w:type="dxa"/>
            <w:tcBorders>
              <w:top w:val="nil"/>
              <w:left w:val="nil"/>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b/>
                <w:sz w:val="24"/>
                <w:szCs w:val="21"/>
              </w:rPr>
            </w:pPr>
            <w:r>
              <w:rPr>
                <w:rFonts w:hint="eastAsia" w:ascii="宋体" w:hAnsi="宋体"/>
                <w:b/>
                <w:sz w:val="24"/>
                <w:szCs w:val="21"/>
              </w:rPr>
              <w:t>开发支撑</w:t>
            </w: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开发支撑</w:t>
            </w:r>
          </w:p>
        </w:tc>
        <w:tc>
          <w:tcPr>
            <w:tcW w:w="2728" w:type="dxa"/>
            <w:tcBorders>
              <w:top w:val="nil"/>
              <w:left w:val="nil"/>
              <w:bottom w:val="single" w:color="000000" w:sz="8" w:space="0"/>
              <w:right w:val="single" w:color="000000" w:sz="8" w:space="0"/>
            </w:tcBorders>
            <w:vAlign w:val="center"/>
          </w:tcPr>
          <w:p>
            <w:pPr>
              <w:ind w:firstLine="480"/>
              <w:jc w:val="left"/>
              <w:rPr>
                <w:rFonts w:ascii="宋体" w:hAnsi="宋体"/>
                <w:sz w:val="24"/>
                <w:szCs w:val="21"/>
              </w:rPr>
            </w:pPr>
            <w:r>
              <w:rPr>
                <w:rFonts w:ascii="宋体" w:hAnsi="宋体"/>
                <w:sz w:val="24"/>
                <w:szCs w:val="21"/>
              </w:rPr>
              <w:t>1</w:t>
            </w:r>
            <w:r>
              <w:rPr>
                <w:rFonts w:hint="eastAsia" w:ascii="宋体" w:hAnsi="宋体"/>
                <w:sz w:val="24"/>
                <w:szCs w:val="21"/>
              </w:rPr>
              <w:t>、根据开发页面进行交互流程逻辑及视觉页面细节进行还原度走查；</w:t>
            </w:r>
          </w:p>
          <w:p>
            <w:pPr>
              <w:ind w:firstLine="480"/>
              <w:jc w:val="left"/>
              <w:rPr>
                <w:rFonts w:ascii="宋体" w:hAnsi="宋体"/>
                <w:sz w:val="24"/>
                <w:szCs w:val="21"/>
              </w:rPr>
            </w:pPr>
            <w:r>
              <w:rPr>
                <w:rFonts w:ascii="宋体" w:hAnsi="宋体"/>
                <w:sz w:val="24"/>
                <w:szCs w:val="21"/>
              </w:rPr>
              <w:t>2</w:t>
            </w:r>
            <w:r>
              <w:rPr>
                <w:rFonts w:hint="eastAsia" w:ascii="宋体" w:hAnsi="宋体"/>
                <w:sz w:val="24"/>
                <w:szCs w:val="21"/>
              </w:rPr>
              <w:t>、输出问题点走查列表，并制定修改建议优先级。</w:t>
            </w:r>
          </w:p>
        </w:tc>
        <w:tc>
          <w:tcPr>
            <w:tcW w:w="2535" w:type="dxa"/>
            <w:tcBorders>
              <w:top w:val="nil"/>
              <w:left w:val="nil"/>
              <w:bottom w:val="single" w:color="000000" w:sz="8" w:space="0"/>
              <w:right w:val="single" w:color="000000" w:sz="8" w:space="0"/>
            </w:tcBorders>
            <w:vAlign w:val="center"/>
          </w:tcPr>
          <w:p>
            <w:pPr>
              <w:autoSpaceDE w:val="0"/>
              <w:autoSpaceDN w:val="0"/>
              <w:jc w:val="left"/>
              <w:rPr>
                <w:rFonts w:ascii="宋体" w:hAnsi="宋体"/>
                <w:sz w:val="24"/>
                <w:szCs w:val="21"/>
              </w:rPr>
            </w:pPr>
            <w:r>
              <w:rPr>
                <w:rFonts w:hint="eastAsia" w:ascii="宋体" w:hAnsi="宋体"/>
                <w:sz w:val="24"/>
                <w:szCs w:val="21"/>
              </w:rPr>
              <w:t>《还原度走查报告》</w:t>
            </w:r>
          </w:p>
          <w:p>
            <w:pPr>
              <w:autoSpaceDE w:val="0"/>
              <w:autoSpaceDN w:val="0"/>
              <w:jc w:val="left"/>
              <w:rPr>
                <w:rFonts w:ascii="宋体" w:hAnsi="宋体"/>
                <w:sz w:val="24"/>
                <w:szCs w:val="21"/>
              </w:rPr>
            </w:pPr>
          </w:p>
        </w:tc>
      </w:tr>
      <w:tr>
        <w:tblPrEx>
          <w:tblCellMar>
            <w:top w:w="0" w:type="dxa"/>
            <w:left w:w="0" w:type="dxa"/>
            <w:bottom w:w="0" w:type="dxa"/>
            <w:right w:w="0" w:type="dxa"/>
          </w:tblCellMar>
        </w:tblPrEx>
        <w:trPr>
          <w:trHeight w:val="286" w:hRule="atLeast"/>
          <w:jc w:val="center"/>
        </w:trPr>
        <w:tc>
          <w:tcPr>
            <w:tcW w:w="678" w:type="dxa"/>
            <w:tcBorders>
              <w:top w:val="nil"/>
              <w:left w:val="single" w:color="000000" w:sz="8" w:space="0"/>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color w:val="000000"/>
                <w:sz w:val="22"/>
                <w:szCs w:val="21"/>
              </w:rPr>
            </w:pPr>
            <w:r>
              <w:rPr>
                <w:rFonts w:ascii="宋体" w:hAnsi="宋体"/>
                <w:sz w:val="22"/>
                <w:szCs w:val="21"/>
              </w:rPr>
              <w:t>5</w:t>
            </w:r>
          </w:p>
        </w:tc>
        <w:tc>
          <w:tcPr>
            <w:tcW w:w="1424" w:type="dxa"/>
            <w:tcBorders>
              <w:top w:val="nil"/>
              <w:left w:val="nil"/>
              <w:bottom w:val="single" w:color="000000" w:sz="8" w:space="0"/>
              <w:right w:val="single" w:color="000000" w:sz="8" w:space="0"/>
            </w:tcBorders>
            <w:tcMar>
              <w:top w:w="18" w:type="dxa"/>
              <w:left w:w="69" w:type="dxa"/>
              <w:bottom w:w="18" w:type="dxa"/>
              <w:right w:w="69" w:type="dxa"/>
            </w:tcMar>
            <w:vAlign w:val="center"/>
          </w:tcPr>
          <w:p>
            <w:pPr>
              <w:jc w:val="center"/>
              <w:rPr>
                <w:rFonts w:ascii="宋体" w:hAnsi="宋体"/>
                <w:b/>
                <w:sz w:val="24"/>
                <w:szCs w:val="21"/>
              </w:rPr>
            </w:pPr>
            <w:r>
              <w:rPr>
                <w:rFonts w:hint="eastAsia" w:ascii="宋体" w:hAnsi="宋体"/>
                <w:b/>
                <w:sz w:val="24"/>
                <w:szCs w:val="21"/>
              </w:rPr>
              <w:t>售后服务期</w:t>
            </w:r>
          </w:p>
        </w:tc>
        <w:tc>
          <w:tcPr>
            <w:tcW w:w="1218" w:type="dxa"/>
            <w:tcBorders>
              <w:top w:val="nil"/>
              <w:left w:val="nil"/>
              <w:bottom w:val="single" w:color="000000" w:sz="8" w:space="0"/>
              <w:right w:val="single" w:color="000000" w:sz="8" w:space="0"/>
            </w:tcBorders>
          </w:tcPr>
          <w:p>
            <w:pPr>
              <w:jc w:val="center"/>
              <w:rPr>
                <w:rFonts w:ascii="宋体" w:hAnsi="宋体"/>
                <w:sz w:val="24"/>
                <w:szCs w:val="21"/>
              </w:rPr>
            </w:pPr>
            <w:r>
              <w:rPr>
                <w:rFonts w:hint="eastAsia" w:ascii="宋体" w:hAnsi="宋体"/>
                <w:sz w:val="24"/>
                <w:szCs w:val="21"/>
              </w:rPr>
              <w:t>售后</w:t>
            </w:r>
            <w:r>
              <w:rPr>
                <w:rFonts w:ascii="宋体" w:hAnsi="宋体"/>
                <w:sz w:val="24"/>
                <w:szCs w:val="21"/>
              </w:rPr>
              <w:t>服务</w:t>
            </w:r>
            <w:r>
              <w:rPr>
                <w:rFonts w:hint="eastAsia" w:ascii="宋体" w:hAnsi="宋体"/>
                <w:sz w:val="24"/>
                <w:szCs w:val="21"/>
              </w:rPr>
              <w:t>期</w:t>
            </w:r>
          </w:p>
        </w:tc>
        <w:tc>
          <w:tcPr>
            <w:tcW w:w="2728" w:type="dxa"/>
            <w:tcBorders>
              <w:top w:val="nil"/>
              <w:left w:val="nil"/>
              <w:bottom w:val="single" w:color="000000" w:sz="8" w:space="0"/>
              <w:right w:val="single" w:color="000000" w:sz="8" w:space="0"/>
            </w:tcBorders>
            <w:vAlign w:val="center"/>
          </w:tcPr>
          <w:p>
            <w:pPr>
              <w:autoSpaceDE w:val="0"/>
              <w:autoSpaceDN w:val="0"/>
              <w:ind w:firstLine="480"/>
              <w:jc w:val="left"/>
              <w:rPr>
                <w:rFonts w:hint="eastAsia" w:ascii="宋体" w:hAnsi="宋体"/>
                <w:sz w:val="24"/>
                <w:szCs w:val="21"/>
              </w:rPr>
            </w:pPr>
            <w:r>
              <w:rPr>
                <w:rFonts w:ascii="宋体" w:hAnsi="宋体"/>
                <w:sz w:val="24"/>
                <w:szCs w:val="21"/>
              </w:rPr>
              <w:t>1</w:t>
            </w:r>
            <w:r>
              <w:rPr>
                <w:rFonts w:hint="eastAsia" w:ascii="宋体" w:hAnsi="宋体"/>
                <w:sz w:val="24"/>
                <w:szCs w:val="21"/>
              </w:rPr>
              <w:t>、维护期自本项目全部验收合格之日起6个月，配合我行完成前端开发、黄金流程可用性测试与功能迭代和日常维护工作。</w:t>
            </w:r>
          </w:p>
        </w:tc>
        <w:tc>
          <w:tcPr>
            <w:tcW w:w="2535" w:type="dxa"/>
            <w:tcBorders>
              <w:top w:val="nil"/>
              <w:left w:val="nil"/>
              <w:bottom w:val="single" w:color="000000" w:sz="8" w:space="0"/>
              <w:right w:val="single" w:color="000000" w:sz="8" w:space="0"/>
            </w:tcBorders>
            <w:vAlign w:val="center"/>
          </w:tcPr>
          <w:p>
            <w:pPr>
              <w:jc w:val="left"/>
              <w:rPr>
                <w:rFonts w:ascii="宋体" w:hAnsi="宋体"/>
                <w:color w:val="000000"/>
                <w:sz w:val="24"/>
                <w:szCs w:val="21"/>
              </w:rPr>
            </w:pPr>
          </w:p>
        </w:tc>
      </w:tr>
    </w:tbl>
    <w:p>
      <w:pPr>
        <w:autoSpaceDE w:val="0"/>
        <w:autoSpaceDN w:val="0"/>
        <w:adjustRightInd w:val="0"/>
        <w:spacing w:line="440" w:lineRule="exact"/>
        <w:jc w:val="left"/>
        <w:rPr>
          <w:rFonts w:hint="eastAsia" w:ascii="宋体" w:hAnsi="宋体"/>
          <w:sz w:val="24"/>
          <w:szCs w:val="24"/>
        </w:rPr>
      </w:pPr>
    </w:p>
    <w:p>
      <w:pPr>
        <w:autoSpaceDE w:val="0"/>
        <w:autoSpaceDN w:val="0"/>
        <w:adjustRightInd w:val="0"/>
        <w:spacing w:line="360" w:lineRule="auto"/>
        <w:ind w:firstLine="482" w:firstLineChars="150"/>
        <w:jc w:val="left"/>
        <w:rPr>
          <w:rFonts w:hint="eastAsia" w:ascii="宋体" w:hAnsi="宋体"/>
          <w:b/>
          <w:sz w:val="32"/>
          <w:szCs w:val="24"/>
        </w:rPr>
      </w:pPr>
      <w:r>
        <w:rPr>
          <w:rFonts w:hint="eastAsia" w:ascii="宋体" w:hAnsi="宋体"/>
          <w:b/>
          <w:sz w:val="32"/>
          <w:szCs w:val="24"/>
        </w:rPr>
        <w:t>五</w:t>
      </w:r>
      <w:r>
        <w:rPr>
          <w:rFonts w:ascii="宋体" w:hAnsi="宋体"/>
          <w:b/>
          <w:sz w:val="32"/>
          <w:szCs w:val="24"/>
        </w:rPr>
        <w:t>、</w:t>
      </w:r>
      <w:r>
        <w:rPr>
          <w:rFonts w:hint="eastAsia" w:ascii="宋体" w:hAnsi="宋体"/>
          <w:b/>
          <w:sz w:val="32"/>
          <w:szCs w:val="24"/>
        </w:rPr>
        <w:t>实施内容</w:t>
      </w:r>
      <w:r>
        <w:rPr>
          <w:rFonts w:ascii="宋体" w:hAnsi="宋体"/>
          <w:b/>
          <w:sz w:val="32"/>
          <w:szCs w:val="24"/>
        </w:rPr>
        <w:t>及时间要求</w:t>
      </w:r>
    </w:p>
    <w:bookmarkEnd w:id="1"/>
    <w:p>
      <w:pPr>
        <w:autoSpaceDE w:val="0"/>
        <w:autoSpaceDN w:val="0"/>
        <w:adjustRightInd w:val="0"/>
        <w:spacing w:line="360" w:lineRule="auto"/>
        <w:ind w:firstLine="482" w:firstLineChars="200"/>
        <w:jc w:val="left"/>
        <w:rPr>
          <w:rFonts w:hint="eastAsia" w:ascii="宋体" w:hAnsi="宋体"/>
          <w:b/>
          <w:sz w:val="24"/>
          <w:szCs w:val="24"/>
        </w:rPr>
      </w:pPr>
      <w:r>
        <w:rPr>
          <w:rFonts w:hint="eastAsia" w:ascii="宋体" w:hAnsi="宋体"/>
          <w:b/>
          <w:sz w:val="24"/>
          <w:szCs w:val="24"/>
        </w:rPr>
        <w:t>1.实施内容：</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投标人中标后将负责以下工作，投标人应针对这些工作内容提供实施方法、资源计划和时间计划：</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（1）投标人负责建设满足招标人业务需求、技术需求的厦门国际银行</w:t>
      </w:r>
      <w:r>
        <w:rPr>
          <w:rFonts w:hint="eastAsia" w:ascii="宋体" w:hAnsi="宋体"/>
          <w:sz w:val="24"/>
          <w:szCs w:val="24"/>
          <w:lang w:val="en-US" w:eastAsia="zh-CN"/>
        </w:rPr>
        <w:t>个人网银2.0</w:t>
      </w:r>
      <w:r>
        <w:rPr>
          <w:rFonts w:hint="eastAsia" w:ascii="宋体" w:hAnsi="宋体"/>
          <w:sz w:val="24"/>
          <w:szCs w:val="24"/>
        </w:rPr>
        <w:t>版本的UI/UE设计方案，提供完整项目解决方案和建议，并负责组织项目实施及推广和项目质量控制；</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（2）投标人负责为招标人提供厦门国际银行</w:t>
      </w:r>
      <w:r>
        <w:rPr>
          <w:rFonts w:hint="eastAsia" w:ascii="宋体" w:hAnsi="宋体"/>
          <w:sz w:val="24"/>
          <w:szCs w:val="24"/>
          <w:lang w:val="en-US" w:eastAsia="zh-CN"/>
        </w:rPr>
        <w:t>个人网银2.0</w:t>
      </w:r>
      <w:r>
        <w:rPr>
          <w:rFonts w:hint="eastAsia" w:ascii="宋体" w:hAnsi="宋体"/>
          <w:sz w:val="24"/>
          <w:szCs w:val="24"/>
        </w:rPr>
        <w:t>版本视觉效果和交互体验相关的培训，使受训人员满足软件开发、维护、使用等工作的需要；</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（3）项目各阶段，投标人负责提交合格完整的项目交付文档及相应阶段的设计产物；配合开发人员软件开发、测试及上线工作，对软件最终实现效果进行严格把控。</w:t>
      </w:r>
    </w:p>
    <w:p>
      <w:pPr>
        <w:autoSpaceDE w:val="0"/>
        <w:autoSpaceDN w:val="0"/>
        <w:adjustRightInd w:val="0"/>
        <w:spacing w:line="360" w:lineRule="auto"/>
        <w:ind w:firstLine="482" w:firstLineChars="200"/>
        <w:jc w:val="left"/>
        <w:rPr>
          <w:rFonts w:hint="eastAsia" w:ascii="宋体" w:hAnsi="宋体"/>
          <w:b/>
          <w:sz w:val="24"/>
          <w:szCs w:val="24"/>
        </w:rPr>
      </w:pPr>
      <w:r>
        <w:rPr>
          <w:rFonts w:hint="eastAsia" w:ascii="宋体" w:hAnsi="宋体"/>
          <w:b/>
          <w:sz w:val="24"/>
          <w:szCs w:val="24"/>
        </w:rPr>
        <w:t>2.时间要求：</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投标人收到中标通知书后，即刻启动项目实施工作，项目实际实施计划和完成时间须与招标方厦门国际银行</w:t>
      </w:r>
      <w:r>
        <w:rPr>
          <w:rFonts w:hint="eastAsia" w:ascii="宋体" w:hAnsi="宋体"/>
          <w:sz w:val="24"/>
          <w:szCs w:val="24"/>
          <w:lang w:val="en-US" w:eastAsia="zh-CN"/>
        </w:rPr>
        <w:t>个人网银2.0</w:t>
      </w:r>
      <w:r>
        <w:rPr>
          <w:rFonts w:hint="eastAsia" w:ascii="宋体" w:hAnsi="宋体"/>
          <w:sz w:val="24"/>
          <w:szCs w:val="24"/>
        </w:rPr>
        <w:t>版本项目实施上线的计划进度相契合。</w:t>
      </w:r>
    </w:p>
    <w:p>
      <w:pPr>
        <w:autoSpaceDE w:val="0"/>
        <w:autoSpaceDN w:val="0"/>
        <w:adjustRightInd w:val="0"/>
        <w:spacing w:line="360" w:lineRule="auto"/>
        <w:ind w:firstLine="482" w:firstLineChars="200"/>
        <w:jc w:val="left"/>
        <w:rPr>
          <w:rFonts w:hint="eastAsia" w:ascii="宋体" w:hAnsi="宋体"/>
          <w:b/>
          <w:sz w:val="24"/>
          <w:szCs w:val="24"/>
        </w:rPr>
      </w:pPr>
      <w:r>
        <w:rPr>
          <w:rFonts w:hint="eastAsia" w:ascii="宋体" w:hAnsi="宋体"/>
          <w:b/>
          <w:sz w:val="24"/>
          <w:szCs w:val="24"/>
        </w:rPr>
        <w:t>3.项目实施团队要求：</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投标人须组织项目实施团队，项目实施团队由1名项目经理、若干项目骨干成员组成。</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项目经理（产品经理）应具有10年以上手机银行</w:t>
      </w:r>
      <w:r>
        <w:rPr>
          <w:rFonts w:hint="eastAsia" w:ascii="宋体" w:hAnsi="宋体"/>
          <w:sz w:val="24"/>
          <w:szCs w:val="24"/>
          <w:lang w:val="en-US" w:eastAsia="zh-CN"/>
        </w:rPr>
        <w:t>/个人网银</w:t>
      </w:r>
      <w:r>
        <w:rPr>
          <w:rFonts w:hint="eastAsia" w:ascii="宋体" w:hAnsi="宋体"/>
          <w:sz w:val="24"/>
          <w:szCs w:val="24"/>
        </w:rPr>
        <w:t>用户体验咨询项目管理工作经验；驻场人员应负责过2个及以上国股行或排名前10名城商行案例；参与本项目的所有团队人员咨询工作经验应达到5年以上且有参与国股行或排名前10名城商行手机银行</w:t>
      </w:r>
      <w:r>
        <w:rPr>
          <w:rFonts w:hint="eastAsia" w:ascii="宋体" w:hAnsi="宋体"/>
          <w:sz w:val="24"/>
          <w:szCs w:val="24"/>
          <w:lang w:val="en-US" w:eastAsia="zh-CN"/>
        </w:rPr>
        <w:t>/个人网银</w:t>
      </w:r>
      <w:r>
        <w:rPr>
          <w:rFonts w:hint="eastAsia" w:ascii="宋体" w:hAnsi="宋体"/>
          <w:sz w:val="24"/>
          <w:szCs w:val="24"/>
        </w:rPr>
        <w:t>用户体验咨询经验，具有很强的设计和解决问题的能力。投标人须提供项目经理及项目成员名单及工作简历。</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为保障项目核心团队稳定，所有成员在征得招标人书面同意后才能更换；投标人承诺，未经招标人同意而变更项目核心团队人员的，需承担相应违约责任；每变更1名项目经理需支付项目合同总价款的10%作为违约金，每变更1名项目成员需支付项目合同总价款的5%作为违约金。</w:t>
      </w:r>
    </w:p>
    <w:p>
      <w:pPr>
        <w:autoSpaceDE w:val="0"/>
        <w:autoSpaceDN w:val="0"/>
        <w:adjustRightInd w:val="0"/>
        <w:spacing w:line="360" w:lineRule="auto"/>
        <w:ind w:firstLine="482" w:firstLineChars="200"/>
        <w:jc w:val="left"/>
        <w:rPr>
          <w:rFonts w:hint="eastAsia" w:ascii="宋体" w:hAnsi="宋体"/>
          <w:b/>
          <w:sz w:val="24"/>
          <w:szCs w:val="24"/>
        </w:rPr>
      </w:pPr>
      <w:r>
        <w:rPr>
          <w:rFonts w:hint="eastAsia" w:ascii="宋体" w:hAnsi="宋体"/>
          <w:b/>
          <w:sz w:val="24"/>
          <w:szCs w:val="24"/>
        </w:rPr>
        <w:t>4.项目管理及职责要求：</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项目实施工作职责以投标人为主，招标人提供必要的配合，并监督投标人实施质量及审核交付物，具体实施方案必须经双方认可。</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项目实施队伍是以投标人一方的技术力量为主，负责整个项目的设计、实施、进度和质量控制，对整个项目的完成进度和质量负责；招标人将派出一定数量的业务与技术人员配合项目建设，审核设计方案，明确细化业务需求，掌握设计新规范，为将来的运行维护、功能扩充作技术准备，并监督项目的质量，确保项目按时完成。</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投标人须根据本项目的特点提出一套具有针对性的项目管理方法，以指导和控制项目实施工作。</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（1）请为项目实施制定合理的项目管理组织架构。</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投标人将承担项目管理的主要日常工作；</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投标人提供技术支持，指导招标人的技术人员按照设计方案进行开发；</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要求投标人给出需求变更管理以及项目范围控制的方法和流程。需求变更管理流程应包含检查、评估和确定变更需求的优先级。需求变更的决策工作应由招标人以及投标人代表组成的专门团队具体负责。</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（2）请投标人给出计划管理、沟通管理、资源管理、版本管理等方法和流程。</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（3）请投标人给出厦门国际银行</w:t>
      </w:r>
      <w:r>
        <w:rPr>
          <w:rFonts w:hint="eastAsia" w:ascii="宋体" w:hAnsi="宋体"/>
          <w:sz w:val="24"/>
          <w:szCs w:val="24"/>
          <w:lang w:val="en-US" w:eastAsia="zh-CN"/>
        </w:rPr>
        <w:t>个人网银2.0</w:t>
      </w:r>
      <w:r>
        <w:rPr>
          <w:rFonts w:hint="eastAsia" w:ascii="宋体" w:hAnsi="宋体"/>
          <w:sz w:val="24"/>
          <w:szCs w:val="24"/>
        </w:rPr>
        <w:t>版本视觉效果和用户体验项目建设的方法和流程，针对招标人的现状环境，列出主要风险点并提出预防建议。</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（4）请投标人制定各种相关的项目管理标准，包含但不限于项目计划标准、时间安排、人员安排、沟通方式、驻场计划、质量控制标准、测试标准、文档标准。</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在项目执行过程中双方应定期或根据需要召开会议，解决项目实施中遇到的问题。</w:t>
      </w:r>
    </w:p>
    <w:p>
      <w:pPr>
        <w:autoSpaceDE w:val="0"/>
        <w:autoSpaceDN w:val="0"/>
        <w:adjustRightInd w:val="0"/>
        <w:spacing w:line="360" w:lineRule="auto"/>
        <w:ind w:firstLine="482" w:firstLineChars="200"/>
        <w:jc w:val="left"/>
        <w:rPr>
          <w:rFonts w:hint="eastAsia" w:ascii="宋体" w:hAnsi="宋体"/>
          <w:b/>
          <w:sz w:val="24"/>
          <w:szCs w:val="24"/>
        </w:rPr>
      </w:pPr>
      <w:r>
        <w:rPr>
          <w:rFonts w:hint="eastAsia" w:ascii="宋体" w:hAnsi="宋体"/>
          <w:b/>
          <w:sz w:val="24"/>
          <w:szCs w:val="24"/>
        </w:rPr>
        <w:t>5.技术转移要求：</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投标人提供的全部方案、文档、素材的版权归甲方所有，不得对外发布；</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投标人必须保证提供的全部方案、文档、素材的版权无纠纷，如果由此产生的一切责任，由投标人负责；</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rPr>
        <w:t>要求投标人提供在项目实施过程中产生的所有相关文档，包括但不限于《厦门国际银行</w:t>
      </w:r>
      <w:r>
        <w:rPr>
          <w:rFonts w:hint="eastAsia" w:ascii="宋体" w:hAnsi="宋体"/>
          <w:sz w:val="24"/>
          <w:szCs w:val="24"/>
          <w:lang w:val="en-US" w:eastAsia="zh-CN"/>
        </w:rPr>
        <w:t>个人网银2.0</w:t>
      </w:r>
      <w:r>
        <w:rPr>
          <w:rFonts w:hint="eastAsia" w:ascii="宋体" w:hAnsi="宋体"/>
          <w:sz w:val="24"/>
          <w:szCs w:val="24"/>
        </w:rPr>
        <w:t>体验优化项目实施方案及计划》、《厦门国际银行用户研究报告》、《竞品研究报告》、《体验策略报告》、《交互设计源文件》、《视觉设计源文件》、《厦门国际银行</w:t>
      </w:r>
      <w:r>
        <w:rPr>
          <w:rFonts w:hint="eastAsia" w:ascii="宋体" w:hAnsi="宋体"/>
          <w:sz w:val="24"/>
          <w:szCs w:val="24"/>
          <w:lang w:val="en-US" w:eastAsia="zh-CN"/>
        </w:rPr>
        <w:t>个人网银2.0</w:t>
      </w:r>
      <w:r>
        <w:rPr>
          <w:rFonts w:hint="eastAsia" w:ascii="宋体" w:hAnsi="宋体"/>
          <w:sz w:val="24"/>
          <w:szCs w:val="24"/>
        </w:rPr>
        <w:t>视觉设计规范文档》、《还原度走查报告》等资料。</w:t>
      </w:r>
    </w:p>
    <w:p>
      <w:pPr>
        <w:autoSpaceDE w:val="0"/>
        <w:autoSpaceDN w:val="0"/>
        <w:adjustRightInd w:val="0"/>
        <w:spacing w:line="360" w:lineRule="auto"/>
        <w:ind w:firstLine="482" w:firstLineChars="200"/>
        <w:jc w:val="left"/>
        <w:rPr>
          <w:rFonts w:hint="eastAsia" w:ascii="宋体" w:hAnsi="宋体"/>
          <w:b/>
          <w:sz w:val="24"/>
          <w:szCs w:val="24"/>
        </w:rPr>
      </w:pPr>
      <w:r>
        <w:rPr>
          <w:rFonts w:hint="eastAsia" w:ascii="宋体" w:hAnsi="宋体"/>
          <w:b/>
          <w:sz w:val="24"/>
          <w:szCs w:val="24"/>
        </w:rPr>
        <w:t>6.售后服务要求：</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项目的免费服务期为</w:t>
      </w:r>
      <w:r>
        <w:rPr>
          <w:rFonts w:ascii="宋体" w:hAnsi="宋体"/>
          <w:sz w:val="24"/>
          <w:szCs w:val="24"/>
        </w:rPr>
        <w:t>6</w:t>
      </w:r>
      <w:r>
        <w:rPr>
          <w:rFonts w:hint="eastAsia" w:ascii="宋体" w:hAnsi="宋体"/>
          <w:sz w:val="24"/>
          <w:szCs w:val="24"/>
        </w:rPr>
        <w:t>个月，免费服务期从项目整体实施完成且经过全部项目验收后双方代表签字之日起计算。免费服务期内投标人提供7×24小时的电话技术支持服务。针对关键重大问题或特殊业务时点，应承诺调动全部资源给予支持，委派专家到现场开会讨论解决问题。</w:t>
      </w:r>
    </w:p>
    <w:sectPr>
      <w:headerReference r:id="rId3" w:type="default"/>
      <w:footerReference r:id="rId4" w:type="default"/>
      <w:pgSz w:w="11906" w:h="16838"/>
      <w:pgMar w:top="1418" w:right="1701" w:bottom="1418" w:left="170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Marlett">
    <w:panose1 w:val="00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default"/>
    <w:sig w:usb0="E0000287" w:usb1="40000013" w:usb2="00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fldChar w:fldCharType="begin"/>
    </w:r>
    <w:r>
      <w:instrText xml:space="preserve"> PAGE </w:instrText>
    </w:r>
    <w:r>
      <w:fldChar w:fldCharType="separate"/>
    </w:r>
    <w:r>
      <w:t>9</w:t>
    </w:r>
    <w:r>
      <w:fldChar w:fldCharType="end"/>
    </w:r>
    <w:r>
      <w:rPr>
        <w:lang w:val="zh-CN"/>
      </w:rPr>
      <w:t xml:space="preserve"> </w:t>
    </w:r>
    <w:r>
      <w:rPr>
        <w:rFonts w:hint="eastAsia"/>
        <w:lang w:val="zh-CN"/>
      </w:rPr>
      <w:t>页 共</w:t>
    </w:r>
    <w:r>
      <w:rPr>
        <w:lang w:val="zh-CN"/>
      </w:rPr>
      <w:t xml:space="preserve"> </w:t>
    </w:r>
    <w:r>
      <w:fldChar w:fldCharType="begin"/>
    </w:r>
    <w:r>
      <w:instrText xml:space="preserve"> NUMPAGES  </w:instrText>
    </w:r>
    <w:r>
      <w:fldChar w:fldCharType="separate"/>
    </w:r>
    <w:r>
      <w:t>11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rFonts w:hint="eastAsia" w:ascii="宋体" w:hAnsi="宋体"/>
        <w:sz w:val="24"/>
        <w:szCs w:val="24"/>
      </w:rPr>
      <w:t>厦门国际银行</w:t>
    </w:r>
    <w:r>
      <w:rPr>
        <w:rFonts w:hint="eastAsia" w:ascii="宋体" w:hAnsi="宋体"/>
        <w:sz w:val="24"/>
        <w:szCs w:val="24"/>
        <w:lang w:val="en-US" w:eastAsia="zh-CN"/>
      </w:rPr>
      <w:t>个人网银2.0UIUE</w:t>
    </w:r>
    <w:r>
      <w:rPr>
        <w:rFonts w:hint="eastAsia" w:ascii="宋体" w:hAnsi="宋体"/>
        <w:sz w:val="24"/>
        <w:szCs w:val="24"/>
      </w:rPr>
      <w:t>体验升级项目工作范围需求说明书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2">
    <w:nsid w:val="072E170E"/>
    <w:multiLevelType w:val="multilevel"/>
    <w:tmpl w:val="072E170E"/>
    <w:lvl w:ilvl="0" w:tentative="0">
      <w:start w:val="1"/>
      <w:numFmt w:val="bullet"/>
      <w:pStyle w:val="84"/>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0F044F3C"/>
    <w:multiLevelType w:val="multilevel"/>
    <w:tmpl w:val="0F044F3C"/>
    <w:lvl w:ilvl="0" w:tentative="0">
      <w:start w:val="1"/>
      <w:numFmt w:val="bullet"/>
      <w:pStyle w:val="50"/>
      <w:lvlText w:val=""/>
      <w:lvlJc w:val="left"/>
      <w:pPr>
        <w:tabs>
          <w:tab w:val="left" w:pos="360"/>
        </w:tabs>
        <w:ind w:left="360" w:hanging="360"/>
      </w:pPr>
      <w:rPr>
        <w:rFonts w:hint="default" w:ascii="Marlett" w:hAnsi="Marlet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Symbol" w:hAnsi="Symbol"/>
        <w:color w:val="auto"/>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A89722A"/>
    <w:multiLevelType w:val="multilevel"/>
    <w:tmpl w:val="5A89722A"/>
    <w:lvl w:ilvl="0" w:tentative="0">
      <w:start w:val="1"/>
      <w:numFmt w:val="bullet"/>
      <w:pStyle w:val="82"/>
      <w:lvlText w:val=""/>
      <w:lvlJc w:val="left"/>
      <w:pPr>
        <w:ind w:left="1320" w:hanging="420"/>
      </w:pPr>
      <w:rPr>
        <w:rFonts w:hint="default" w:ascii="Wingdings" w:hAnsi="Wingdings"/>
      </w:rPr>
    </w:lvl>
    <w:lvl w:ilvl="1" w:tentative="0">
      <w:start w:val="1"/>
      <w:numFmt w:val="bullet"/>
      <w:lvlText w:val=""/>
      <w:lvlJc w:val="left"/>
      <w:pPr>
        <w:ind w:left="1740" w:hanging="420"/>
      </w:pPr>
      <w:rPr>
        <w:rFonts w:hint="default" w:ascii="Wingdings" w:hAnsi="Wingdings"/>
      </w:rPr>
    </w:lvl>
    <w:lvl w:ilvl="2" w:tentative="0">
      <w:start w:val="1"/>
      <w:numFmt w:val="bullet"/>
      <w:lvlText w:val=""/>
      <w:lvlJc w:val="left"/>
      <w:pPr>
        <w:ind w:left="2160" w:hanging="420"/>
      </w:pPr>
      <w:rPr>
        <w:rFonts w:hint="default" w:ascii="Wingdings" w:hAnsi="Wingdings"/>
      </w:rPr>
    </w:lvl>
    <w:lvl w:ilvl="3" w:tentative="0">
      <w:start w:val="1"/>
      <w:numFmt w:val="bullet"/>
      <w:lvlText w:val=""/>
      <w:lvlJc w:val="left"/>
      <w:pPr>
        <w:ind w:left="2580" w:hanging="420"/>
      </w:pPr>
      <w:rPr>
        <w:rFonts w:hint="default" w:ascii="Wingdings" w:hAnsi="Wingdings"/>
      </w:rPr>
    </w:lvl>
    <w:lvl w:ilvl="4" w:tentative="0">
      <w:start w:val="1"/>
      <w:numFmt w:val="bullet"/>
      <w:lvlText w:val=""/>
      <w:lvlJc w:val="left"/>
      <w:pPr>
        <w:ind w:left="3000" w:hanging="420"/>
      </w:pPr>
      <w:rPr>
        <w:rFonts w:hint="default" w:ascii="Wingdings" w:hAnsi="Wingdings"/>
      </w:rPr>
    </w:lvl>
    <w:lvl w:ilvl="5" w:tentative="0">
      <w:start w:val="1"/>
      <w:numFmt w:val="bullet"/>
      <w:lvlText w:val=""/>
      <w:lvlJc w:val="left"/>
      <w:pPr>
        <w:ind w:left="3420" w:hanging="420"/>
      </w:pPr>
      <w:rPr>
        <w:rFonts w:hint="default" w:ascii="Wingdings" w:hAnsi="Wingdings"/>
      </w:rPr>
    </w:lvl>
    <w:lvl w:ilvl="6" w:tentative="0">
      <w:start w:val="1"/>
      <w:numFmt w:val="bullet"/>
      <w:lvlText w:val=""/>
      <w:lvlJc w:val="left"/>
      <w:pPr>
        <w:ind w:left="3840" w:hanging="420"/>
      </w:pPr>
      <w:rPr>
        <w:rFonts w:hint="default" w:ascii="Wingdings" w:hAnsi="Wingdings"/>
      </w:rPr>
    </w:lvl>
    <w:lvl w:ilvl="7" w:tentative="0">
      <w:start w:val="1"/>
      <w:numFmt w:val="bullet"/>
      <w:lvlText w:val=""/>
      <w:lvlJc w:val="left"/>
      <w:pPr>
        <w:ind w:left="4260" w:hanging="420"/>
      </w:pPr>
      <w:rPr>
        <w:rFonts w:hint="default" w:ascii="Wingdings" w:hAnsi="Wingdings"/>
      </w:rPr>
    </w:lvl>
    <w:lvl w:ilvl="8" w:tentative="0">
      <w:start w:val="1"/>
      <w:numFmt w:val="bullet"/>
      <w:lvlText w:val=""/>
      <w:lvlJc w:val="left"/>
      <w:pPr>
        <w:ind w:left="4680" w:hanging="420"/>
      </w:pPr>
      <w:rPr>
        <w:rFonts w:hint="default" w:ascii="Wingdings" w:hAnsi="Wingdings"/>
      </w:rPr>
    </w:lvl>
  </w:abstractNum>
  <w:abstractNum w:abstractNumId="5">
    <w:nsid w:val="63E1739D"/>
    <w:multiLevelType w:val="multilevel"/>
    <w:tmpl w:val="63E1739D"/>
    <w:lvl w:ilvl="0" w:tentative="0">
      <w:start w:val="1"/>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6">
    <w:nsid w:val="661F04FE"/>
    <w:multiLevelType w:val="multilevel"/>
    <w:tmpl w:val="661F04FE"/>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14:shadow w14:blurRad="0" w14:dist="0" w14:dir="0" w14:sx="0" w14:sy="0" w14:kx="0" w14:ky="0" w14:algn="none">
          <w14:srgbClr w14:val="000000"/>
        </w14:shadow>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7">
    <w:nsid w:val="68F9C489"/>
    <w:multiLevelType w:val="singleLevel"/>
    <w:tmpl w:val="68F9C489"/>
    <w:lvl w:ilvl="0" w:tentative="0">
      <w:start w:val="1"/>
      <w:numFmt w:val="decimal"/>
      <w:lvlText w:val="(%1)"/>
      <w:lvlJc w:val="left"/>
      <w:pPr>
        <w:ind w:left="567" w:hanging="425"/>
      </w:pPr>
      <w:rPr>
        <w:rFonts w:hint="default"/>
      </w:rPr>
    </w:lvl>
  </w:abstractNum>
  <w:abstractNum w:abstractNumId="8">
    <w:nsid w:val="7E641E60"/>
    <w:multiLevelType w:val="multilevel"/>
    <w:tmpl w:val="7E641E60"/>
    <w:lvl w:ilvl="0" w:tentative="0">
      <w:start w:val="1"/>
      <w:numFmt w:val="bullet"/>
      <w:lvlText w:val=""/>
      <w:lvlJc w:val="left"/>
      <w:pPr>
        <w:ind w:left="3965" w:hanging="420"/>
      </w:pPr>
      <w:rPr>
        <w:rFonts w:hint="default" w:ascii="Wingdings" w:hAnsi="Wingdings"/>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num w:numId="1">
    <w:abstractNumId w:val="6"/>
  </w:num>
  <w:num w:numId="2">
    <w:abstractNumId w:val="1"/>
  </w:num>
  <w:num w:numId="3">
    <w:abstractNumId w:val="0"/>
  </w:num>
  <w:num w:numId="4">
    <w:abstractNumId w:val="3"/>
  </w:num>
  <w:num w:numId="5">
    <w:abstractNumId w:val="4"/>
  </w:num>
  <w:num w:numId="6">
    <w:abstractNumId w:val="2"/>
  </w:num>
  <w:num w:numId="7">
    <w:abstractNumId w:val="5"/>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078"/>
    <w:rsid w:val="0000012D"/>
    <w:rsid w:val="000008AE"/>
    <w:rsid w:val="0000167E"/>
    <w:rsid w:val="000019D9"/>
    <w:rsid w:val="00001B90"/>
    <w:rsid w:val="000031B0"/>
    <w:rsid w:val="000031B1"/>
    <w:rsid w:val="000036E9"/>
    <w:rsid w:val="00004B11"/>
    <w:rsid w:val="000062B5"/>
    <w:rsid w:val="00007FD6"/>
    <w:rsid w:val="00014FC2"/>
    <w:rsid w:val="00014FDB"/>
    <w:rsid w:val="000152C3"/>
    <w:rsid w:val="00015EB3"/>
    <w:rsid w:val="00017196"/>
    <w:rsid w:val="00022718"/>
    <w:rsid w:val="000229FD"/>
    <w:rsid w:val="00024F9D"/>
    <w:rsid w:val="00025421"/>
    <w:rsid w:val="000256B4"/>
    <w:rsid w:val="00025FF6"/>
    <w:rsid w:val="0003043C"/>
    <w:rsid w:val="00030664"/>
    <w:rsid w:val="00031C88"/>
    <w:rsid w:val="000333BE"/>
    <w:rsid w:val="00033918"/>
    <w:rsid w:val="00033AD0"/>
    <w:rsid w:val="0003499A"/>
    <w:rsid w:val="00034D15"/>
    <w:rsid w:val="00034D18"/>
    <w:rsid w:val="00036BD0"/>
    <w:rsid w:val="00036C1B"/>
    <w:rsid w:val="00041DE4"/>
    <w:rsid w:val="000436FD"/>
    <w:rsid w:val="000448B3"/>
    <w:rsid w:val="00046915"/>
    <w:rsid w:val="00047447"/>
    <w:rsid w:val="00053710"/>
    <w:rsid w:val="00053D69"/>
    <w:rsid w:val="00057BEE"/>
    <w:rsid w:val="00061C8C"/>
    <w:rsid w:val="000625F0"/>
    <w:rsid w:val="00063F01"/>
    <w:rsid w:val="00064CB8"/>
    <w:rsid w:val="000658BC"/>
    <w:rsid w:val="00065EE7"/>
    <w:rsid w:val="00070204"/>
    <w:rsid w:val="00071587"/>
    <w:rsid w:val="00071B35"/>
    <w:rsid w:val="00073750"/>
    <w:rsid w:val="00074167"/>
    <w:rsid w:val="0007694E"/>
    <w:rsid w:val="0008064C"/>
    <w:rsid w:val="00080654"/>
    <w:rsid w:val="00080A1C"/>
    <w:rsid w:val="00080F5E"/>
    <w:rsid w:val="00081114"/>
    <w:rsid w:val="00082E9A"/>
    <w:rsid w:val="00083F6A"/>
    <w:rsid w:val="00085D13"/>
    <w:rsid w:val="0008689E"/>
    <w:rsid w:val="00093315"/>
    <w:rsid w:val="00094897"/>
    <w:rsid w:val="000953BC"/>
    <w:rsid w:val="0009608B"/>
    <w:rsid w:val="00097BBA"/>
    <w:rsid w:val="000A1BE0"/>
    <w:rsid w:val="000A3D23"/>
    <w:rsid w:val="000A3F28"/>
    <w:rsid w:val="000A5851"/>
    <w:rsid w:val="000B1864"/>
    <w:rsid w:val="000B19ED"/>
    <w:rsid w:val="000B3441"/>
    <w:rsid w:val="000B5B4D"/>
    <w:rsid w:val="000B5B52"/>
    <w:rsid w:val="000B5E8A"/>
    <w:rsid w:val="000B68A6"/>
    <w:rsid w:val="000B74A5"/>
    <w:rsid w:val="000C17D6"/>
    <w:rsid w:val="000C301D"/>
    <w:rsid w:val="000C3641"/>
    <w:rsid w:val="000C42BF"/>
    <w:rsid w:val="000C5972"/>
    <w:rsid w:val="000C749F"/>
    <w:rsid w:val="000C7E80"/>
    <w:rsid w:val="000D1A93"/>
    <w:rsid w:val="000D299E"/>
    <w:rsid w:val="000D4150"/>
    <w:rsid w:val="000D4174"/>
    <w:rsid w:val="000E09AA"/>
    <w:rsid w:val="000E190A"/>
    <w:rsid w:val="000E1B78"/>
    <w:rsid w:val="000E208F"/>
    <w:rsid w:val="000E2C4E"/>
    <w:rsid w:val="000E3485"/>
    <w:rsid w:val="000E369F"/>
    <w:rsid w:val="000E453D"/>
    <w:rsid w:val="000E4B66"/>
    <w:rsid w:val="000F0FE5"/>
    <w:rsid w:val="000F1393"/>
    <w:rsid w:val="000F1409"/>
    <w:rsid w:val="000F2410"/>
    <w:rsid w:val="000F2F66"/>
    <w:rsid w:val="0010051F"/>
    <w:rsid w:val="00101A56"/>
    <w:rsid w:val="0010347D"/>
    <w:rsid w:val="001045D9"/>
    <w:rsid w:val="00106E08"/>
    <w:rsid w:val="0011162F"/>
    <w:rsid w:val="00111854"/>
    <w:rsid w:val="00111B1F"/>
    <w:rsid w:val="00114575"/>
    <w:rsid w:val="00115747"/>
    <w:rsid w:val="001166EA"/>
    <w:rsid w:val="00116BCB"/>
    <w:rsid w:val="001173F1"/>
    <w:rsid w:val="00117935"/>
    <w:rsid w:val="00121159"/>
    <w:rsid w:val="00121609"/>
    <w:rsid w:val="00121B41"/>
    <w:rsid w:val="00124BB5"/>
    <w:rsid w:val="00131ECC"/>
    <w:rsid w:val="00131F43"/>
    <w:rsid w:val="00133013"/>
    <w:rsid w:val="00133E46"/>
    <w:rsid w:val="0013467B"/>
    <w:rsid w:val="001436BB"/>
    <w:rsid w:val="00143A60"/>
    <w:rsid w:val="001448CE"/>
    <w:rsid w:val="0014525D"/>
    <w:rsid w:val="00146AA5"/>
    <w:rsid w:val="001470DA"/>
    <w:rsid w:val="00147CE5"/>
    <w:rsid w:val="0015042D"/>
    <w:rsid w:val="00150B91"/>
    <w:rsid w:val="001515AE"/>
    <w:rsid w:val="00151F0B"/>
    <w:rsid w:val="00152996"/>
    <w:rsid w:val="00154FD4"/>
    <w:rsid w:val="001566CC"/>
    <w:rsid w:val="0015682E"/>
    <w:rsid w:val="0015749B"/>
    <w:rsid w:val="00157AB1"/>
    <w:rsid w:val="00161DF3"/>
    <w:rsid w:val="001649DD"/>
    <w:rsid w:val="00165086"/>
    <w:rsid w:val="001657AD"/>
    <w:rsid w:val="0016600D"/>
    <w:rsid w:val="00166C1E"/>
    <w:rsid w:val="00167387"/>
    <w:rsid w:val="00171FA0"/>
    <w:rsid w:val="00172BE9"/>
    <w:rsid w:val="00173C4A"/>
    <w:rsid w:val="00173C58"/>
    <w:rsid w:val="001764CB"/>
    <w:rsid w:val="0017685B"/>
    <w:rsid w:val="00177900"/>
    <w:rsid w:val="00180568"/>
    <w:rsid w:val="001809F2"/>
    <w:rsid w:val="00181425"/>
    <w:rsid w:val="00182A72"/>
    <w:rsid w:val="00182DFF"/>
    <w:rsid w:val="001845A3"/>
    <w:rsid w:val="00190A37"/>
    <w:rsid w:val="00190D53"/>
    <w:rsid w:val="001921F9"/>
    <w:rsid w:val="00194226"/>
    <w:rsid w:val="001942A8"/>
    <w:rsid w:val="0019592F"/>
    <w:rsid w:val="00196742"/>
    <w:rsid w:val="00197827"/>
    <w:rsid w:val="001A011A"/>
    <w:rsid w:val="001A09B7"/>
    <w:rsid w:val="001A14BD"/>
    <w:rsid w:val="001A16DA"/>
    <w:rsid w:val="001A28C1"/>
    <w:rsid w:val="001B022D"/>
    <w:rsid w:val="001B0B35"/>
    <w:rsid w:val="001B2259"/>
    <w:rsid w:val="001B23CA"/>
    <w:rsid w:val="001B3BFD"/>
    <w:rsid w:val="001B47AD"/>
    <w:rsid w:val="001B573A"/>
    <w:rsid w:val="001B68BD"/>
    <w:rsid w:val="001C147E"/>
    <w:rsid w:val="001C1D0A"/>
    <w:rsid w:val="001C22FF"/>
    <w:rsid w:val="001C2388"/>
    <w:rsid w:val="001C27DA"/>
    <w:rsid w:val="001C379A"/>
    <w:rsid w:val="001C4358"/>
    <w:rsid w:val="001C4609"/>
    <w:rsid w:val="001C4E18"/>
    <w:rsid w:val="001C58BD"/>
    <w:rsid w:val="001C620D"/>
    <w:rsid w:val="001D05A9"/>
    <w:rsid w:val="001D21BB"/>
    <w:rsid w:val="001D2EBF"/>
    <w:rsid w:val="001D6B23"/>
    <w:rsid w:val="001E10DD"/>
    <w:rsid w:val="001E1FC1"/>
    <w:rsid w:val="001E293F"/>
    <w:rsid w:val="001E2FED"/>
    <w:rsid w:val="001E3960"/>
    <w:rsid w:val="001E3C3C"/>
    <w:rsid w:val="001E472E"/>
    <w:rsid w:val="001E65DC"/>
    <w:rsid w:val="001E6C18"/>
    <w:rsid w:val="001E730B"/>
    <w:rsid w:val="001E7CA6"/>
    <w:rsid w:val="001F0070"/>
    <w:rsid w:val="001F316F"/>
    <w:rsid w:val="001F3FB5"/>
    <w:rsid w:val="001F6078"/>
    <w:rsid w:val="001F62ED"/>
    <w:rsid w:val="001F6513"/>
    <w:rsid w:val="00201402"/>
    <w:rsid w:val="0020383B"/>
    <w:rsid w:val="00203C74"/>
    <w:rsid w:val="002043CD"/>
    <w:rsid w:val="00204910"/>
    <w:rsid w:val="00204CFF"/>
    <w:rsid w:val="00205016"/>
    <w:rsid w:val="00205B1A"/>
    <w:rsid w:val="00207B2D"/>
    <w:rsid w:val="002110FB"/>
    <w:rsid w:val="00211B4F"/>
    <w:rsid w:val="00213DF5"/>
    <w:rsid w:val="0021402C"/>
    <w:rsid w:val="00214F03"/>
    <w:rsid w:val="00215BFA"/>
    <w:rsid w:val="00217B89"/>
    <w:rsid w:val="00217B9D"/>
    <w:rsid w:val="00225713"/>
    <w:rsid w:val="0022631B"/>
    <w:rsid w:val="00227C90"/>
    <w:rsid w:val="00230188"/>
    <w:rsid w:val="002323AD"/>
    <w:rsid w:val="002330D3"/>
    <w:rsid w:val="00235915"/>
    <w:rsid w:val="00236743"/>
    <w:rsid w:val="00241C3A"/>
    <w:rsid w:val="0024398E"/>
    <w:rsid w:val="00245B93"/>
    <w:rsid w:val="0025108B"/>
    <w:rsid w:val="00251C5B"/>
    <w:rsid w:val="00252313"/>
    <w:rsid w:val="00253A25"/>
    <w:rsid w:val="00253DFE"/>
    <w:rsid w:val="00253F21"/>
    <w:rsid w:val="00254A97"/>
    <w:rsid w:val="00256299"/>
    <w:rsid w:val="002573D7"/>
    <w:rsid w:val="00263803"/>
    <w:rsid w:val="00263842"/>
    <w:rsid w:val="002644AE"/>
    <w:rsid w:val="0026490A"/>
    <w:rsid w:val="0026793F"/>
    <w:rsid w:val="00267A85"/>
    <w:rsid w:val="00270048"/>
    <w:rsid w:val="00270512"/>
    <w:rsid w:val="002715C6"/>
    <w:rsid w:val="002751CF"/>
    <w:rsid w:val="002752BD"/>
    <w:rsid w:val="00276938"/>
    <w:rsid w:val="00277DAE"/>
    <w:rsid w:val="00277E1C"/>
    <w:rsid w:val="002834B0"/>
    <w:rsid w:val="00284E14"/>
    <w:rsid w:val="002855D1"/>
    <w:rsid w:val="002856C1"/>
    <w:rsid w:val="00285AF8"/>
    <w:rsid w:val="00286308"/>
    <w:rsid w:val="00286E24"/>
    <w:rsid w:val="00292C7C"/>
    <w:rsid w:val="00296004"/>
    <w:rsid w:val="00296AD9"/>
    <w:rsid w:val="002972DF"/>
    <w:rsid w:val="002A0814"/>
    <w:rsid w:val="002A0D49"/>
    <w:rsid w:val="002A2AB3"/>
    <w:rsid w:val="002A5CB3"/>
    <w:rsid w:val="002A703B"/>
    <w:rsid w:val="002A7FB6"/>
    <w:rsid w:val="002B116B"/>
    <w:rsid w:val="002B2FFE"/>
    <w:rsid w:val="002B5600"/>
    <w:rsid w:val="002B5E4F"/>
    <w:rsid w:val="002B5F51"/>
    <w:rsid w:val="002B622C"/>
    <w:rsid w:val="002B638C"/>
    <w:rsid w:val="002B79A4"/>
    <w:rsid w:val="002C0A46"/>
    <w:rsid w:val="002C13E4"/>
    <w:rsid w:val="002C33C9"/>
    <w:rsid w:val="002C3BB9"/>
    <w:rsid w:val="002C3D74"/>
    <w:rsid w:val="002C6200"/>
    <w:rsid w:val="002D0EE3"/>
    <w:rsid w:val="002D11BF"/>
    <w:rsid w:val="002D20D1"/>
    <w:rsid w:val="002D23DE"/>
    <w:rsid w:val="002D4090"/>
    <w:rsid w:val="002D575B"/>
    <w:rsid w:val="002D6522"/>
    <w:rsid w:val="002D6CFB"/>
    <w:rsid w:val="002D6E6C"/>
    <w:rsid w:val="002E04C9"/>
    <w:rsid w:val="002E0544"/>
    <w:rsid w:val="002E0656"/>
    <w:rsid w:val="002E0F2A"/>
    <w:rsid w:val="002E61C0"/>
    <w:rsid w:val="002E7A1E"/>
    <w:rsid w:val="002F0C7F"/>
    <w:rsid w:val="002F2CAA"/>
    <w:rsid w:val="002F39E7"/>
    <w:rsid w:val="002F4525"/>
    <w:rsid w:val="002F4E7D"/>
    <w:rsid w:val="002F65CD"/>
    <w:rsid w:val="002F6877"/>
    <w:rsid w:val="002F72D5"/>
    <w:rsid w:val="00300430"/>
    <w:rsid w:val="00304EBD"/>
    <w:rsid w:val="00306247"/>
    <w:rsid w:val="00307367"/>
    <w:rsid w:val="0031003A"/>
    <w:rsid w:val="003134F0"/>
    <w:rsid w:val="00313E05"/>
    <w:rsid w:val="00313F01"/>
    <w:rsid w:val="00317030"/>
    <w:rsid w:val="0031795B"/>
    <w:rsid w:val="00317EF4"/>
    <w:rsid w:val="003245C3"/>
    <w:rsid w:val="00325612"/>
    <w:rsid w:val="003258E5"/>
    <w:rsid w:val="003261AF"/>
    <w:rsid w:val="0032690B"/>
    <w:rsid w:val="003302AC"/>
    <w:rsid w:val="00332247"/>
    <w:rsid w:val="00332666"/>
    <w:rsid w:val="003334E7"/>
    <w:rsid w:val="00333A29"/>
    <w:rsid w:val="00333A7C"/>
    <w:rsid w:val="00333C01"/>
    <w:rsid w:val="0033509F"/>
    <w:rsid w:val="00336A7D"/>
    <w:rsid w:val="003404B1"/>
    <w:rsid w:val="003406D7"/>
    <w:rsid w:val="00341CD8"/>
    <w:rsid w:val="00342991"/>
    <w:rsid w:val="003431CE"/>
    <w:rsid w:val="003444D1"/>
    <w:rsid w:val="003464D0"/>
    <w:rsid w:val="00346938"/>
    <w:rsid w:val="00346E4C"/>
    <w:rsid w:val="00347D40"/>
    <w:rsid w:val="00350569"/>
    <w:rsid w:val="003539A7"/>
    <w:rsid w:val="00353C46"/>
    <w:rsid w:val="0035450F"/>
    <w:rsid w:val="003545A2"/>
    <w:rsid w:val="0036104C"/>
    <w:rsid w:val="003618E8"/>
    <w:rsid w:val="00361C5B"/>
    <w:rsid w:val="003620EF"/>
    <w:rsid w:val="00363799"/>
    <w:rsid w:val="0036471A"/>
    <w:rsid w:val="0036497F"/>
    <w:rsid w:val="00366039"/>
    <w:rsid w:val="00367BB5"/>
    <w:rsid w:val="0037146E"/>
    <w:rsid w:val="00373A54"/>
    <w:rsid w:val="00373BCD"/>
    <w:rsid w:val="003742D7"/>
    <w:rsid w:val="00375FC6"/>
    <w:rsid w:val="00376497"/>
    <w:rsid w:val="003771E0"/>
    <w:rsid w:val="00381142"/>
    <w:rsid w:val="003822FF"/>
    <w:rsid w:val="00383374"/>
    <w:rsid w:val="00386C00"/>
    <w:rsid w:val="003879DC"/>
    <w:rsid w:val="0039145A"/>
    <w:rsid w:val="00391A48"/>
    <w:rsid w:val="00391AD4"/>
    <w:rsid w:val="0039323C"/>
    <w:rsid w:val="00394AB5"/>
    <w:rsid w:val="00397F4B"/>
    <w:rsid w:val="003A010E"/>
    <w:rsid w:val="003A1930"/>
    <w:rsid w:val="003A2BB2"/>
    <w:rsid w:val="003A4A97"/>
    <w:rsid w:val="003A7A6E"/>
    <w:rsid w:val="003A7EAC"/>
    <w:rsid w:val="003B264E"/>
    <w:rsid w:val="003B359D"/>
    <w:rsid w:val="003B3A65"/>
    <w:rsid w:val="003B4D4F"/>
    <w:rsid w:val="003B4EFF"/>
    <w:rsid w:val="003B5773"/>
    <w:rsid w:val="003B5B06"/>
    <w:rsid w:val="003B6885"/>
    <w:rsid w:val="003C0A4C"/>
    <w:rsid w:val="003C1E82"/>
    <w:rsid w:val="003C3695"/>
    <w:rsid w:val="003C68E8"/>
    <w:rsid w:val="003C6E99"/>
    <w:rsid w:val="003C76E1"/>
    <w:rsid w:val="003D3422"/>
    <w:rsid w:val="003D3468"/>
    <w:rsid w:val="003D3685"/>
    <w:rsid w:val="003D54ED"/>
    <w:rsid w:val="003D58C0"/>
    <w:rsid w:val="003D7B1E"/>
    <w:rsid w:val="003E1D64"/>
    <w:rsid w:val="003E3282"/>
    <w:rsid w:val="003E795F"/>
    <w:rsid w:val="003E796C"/>
    <w:rsid w:val="003E7EA3"/>
    <w:rsid w:val="003F1E7E"/>
    <w:rsid w:val="003F3213"/>
    <w:rsid w:val="003F45AF"/>
    <w:rsid w:val="003F54FD"/>
    <w:rsid w:val="003F77C1"/>
    <w:rsid w:val="00401B8A"/>
    <w:rsid w:val="004026DD"/>
    <w:rsid w:val="0040280A"/>
    <w:rsid w:val="00403E5B"/>
    <w:rsid w:val="004046A3"/>
    <w:rsid w:val="004050D5"/>
    <w:rsid w:val="00405989"/>
    <w:rsid w:val="00406850"/>
    <w:rsid w:val="00411E31"/>
    <w:rsid w:val="00411EFB"/>
    <w:rsid w:val="00412340"/>
    <w:rsid w:val="004125FF"/>
    <w:rsid w:val="00412D51"/>
    <w:rsid w:val="00414C5B"/>
    <w:rsid w:val="00415876"/>
    <w:rsid w:val="00415C9F"/>
    <w:rsid w:val="00416508"/>
    <w:rsid w:val="00420E53"/>
    <w:rsid w:val="0042167C"/>
    <w:rsid w:val="004218E9"/>
    <w:rsid w:val="00422101"/>
    <w:rsid w:val="00422EE6"/>
    <w:rsid w:val="00423149"/>
    <w:rsid w:val="004231FD"/>
    <w:rsid w:val="00423EBE"/>
    <w:rsid w:val="0042456D"/>
    <w:rsid w:val="00426ACA"/>
    <w:rsid w:val="00427FE9"/>
    <w:rsid w:val="00432AC6"/>
    <w:rsid w:val="00432B78"/>
    <w:rsid w:val="0043631B"/>
    <w:rsid w:val="00436839"/>
    <w:rsid w:val="00437CE1"/>
    <w:rsid w:val="004403D6"/>
    <w:rsid w:val="00441CE8"/>
    <w:rsid w:val="004426F3"/>
    <w:rsid w:val="00442B3E"/>
    <w:rsid w:val="00446F84"/>
    <w:rsid w:val="004476D2"/>
    <w:rsid w:val="00450EA7"/>
    <w:rsid w:val="00456A79"/>
    <w:rsid w:val="004572DC"/>
    <w:rsid w:val="004577AA"/>
    <w:rsid w:val="00457873"/>
    <w:rsid w:val="00457F4C"/>
    <w:rsid w:val="0046098B"/>
    <w:rsid w:val="00462B2D"/>
    <w:rsid w:val="004653E5"/>
    <w:rsid w:val="00465D05"/>
    <w:rsid w:val="00466981"/>
    <w:rsid w:val="004672AF"/>
    <w:rsid w:val="00467E50"/>
    <w:rsid w:val="004700BB"/>
    <w:rsid w:val="0047142D"/>
    <w:rsid w:val="00471574"/>
    <w:rsid w:val="00474388"/>
    <w:rsid w:val="004745C8"/>
    <w:rsid w:val="004765E3"/>
    <w:rsid w:val="00480A0F"/>
    <w:rsid w:val="00481615"/>
    <w:rsid w:val="004820FD"/>
    <w:rsid w:val="00482C37"/>
    <w:rsid w:val="00483496"/>
    <w:rsid w:val="00483499"/>
    <w:rsid w:val="00483DC3"/>
    <w:rsid w:val="00485AF5"/>
    <w:rsid w:val="00485C68"/>
    <w:rsid w:val="00487859"/>
    <w:rsid w:val="00491517"/>
    <w:rsid w:val="004924A1"/>
    <w:rsid w:val="00492904"/>
    <w:rsid w:val="004932C6"/>
    <w:rsid w:val="00493F66"/>
    <w:rsid w:val="0049470B"/>
    <w:rsid w:val="00495261"/>
    <w:rsid w:val="0049633C"/>
    <w:rsid w:val="00496A29"/>
    <w:rsid w:val="00496E59"/>
    <w:rsid w:val="004A105E"/>
    <w:rsid w:val="004A1BE2"/>
    <w:rsid w:val="004A30CA"/>
    <w:rsid w:val="004A3762"/>
    <w:rsid w:val="004A5066"/>
    <w:rsid w:val="004A53D1"/>
    <w:rsid w:val="004A76A4"/>
    <w:rsid w:val="004A76CF"/>
    <w:rsid w:val="004B04F7"/>
    <w:rsid w:val="004B0857"/>
    <w:rsid w:val="004B19E1"/>
    <w:rsid w:val="004B2E2C"/>
    <w:rsid w:val="004B2F53"/>
    <w:rsid w:val="004B4249"/>
    <w:rsid w:val="004B429B"/>
    <w:rsid w:val="004B4E2F"/>
    <w:rsid w:val="004C329D"/>
    <w:rsid w:val="004C527F"/>
    <w:rsid w:val="004C6A01"/>
    <w:rsid w:val="004C706A"/>
    <w:rsid w:val="004D38BD"/>
    <w:rsid w:val="004D4A1B"/>
    <w:rsid w:val="004D5CD8"/>
    <w:rsid w:val="004D6464"/>
    <w:rsid w:val="004D681B"/>
    <w:rsid w:val="004D68AC"/>
    <w:rsid w:val="004D68DD"/>
    <w:rsid w:val="004D77EF"/>
    <w:rsid w:val="004E4312"/>
    <w:rsid w:val="004E7156"/>
    <w:rsid w:val="004E7184"/>
    <w:rsid w:val="004F0652"/>
    <w:rsid w:val="004F0F8B"/>
    <w:rsid w:val="004F50C9"/>
    <w:rsid w:val="004F7C40"/>
    <w:rsid w:val="00501632"/>
    <w:rsid w:val="0050387E"/>
    <w:rsid w:val="0051018A"/>
    <w:rsid w:val="00511BF6"/>
    <w:rsid w:val="005129B8"/>
    <w:rsid w:val="00513165"/>
    <w:rsid w:val="00515DFB"/>
    <w:rsid w:val="005160EE"/>
    <w:rsid w:val="00516E8C"/>
    <w:rsid w:val="0051717A"/>
    <w:rsid w:val="005175D5"/>
    <w:rsid w:val="00520274"/>
    <w:rsid w:val="0052067E"/>
    <w:rsid w:val="00520976"/>
    <w:rsid w:val="00520BEE"/>
    <w:rsid w:val="005214E3"/>
    <w:rsid w:val="00524F48"/>
    <w:rsid w:val="00526CD4"/>
    <w:rsid w:val="005270D6"/>
    <w:rsid w:val="00531FF2"/>
    <w:rsid w:val="005327EC"/>
    <w:rsid w:val="00533A9F"/>
    <w:rsid w:val="005350FF"/>
    <w:rsid w:val="00535A77"/>
    <w:rsid w:val="00536C48"/>
    <w:rsid w:val="005378D2"/>
    <w:rsid w:val="00540D24"/>
    <w:rsid w:val="00541223"/>
    <w:rsid w:val="00543D0A"/>
    <w:rsid w:val="005444A0"/>
    <w:rsid w:val="005449B9"/>
    <w:rsid w:val="00545CAD"/>
    <w:rsid w:val="00545D1B"/>
    <w:rsid w:val="00545F4B"/>
    <w:rsid w:val="00546939"/>
    <w:rsid w:val="00547DB5"/>
    <w:rsid w:val="005501B0"/>
    <w:rsid w:val="005507BD"/>
    <w:rsid w:val="0055103D"/>
    <w:rsid w:val="005534DC"/>
    <w:rsid w:val="00553844"/>
    <w:rsid w:val="00555F46"/>
    <w:rsid w:val="00557E66"/>
    <w:rsid w:val="00561FDD"/>
    <w:rsid w:val="00562047"/>
    <w:rsid w:val="00562541"/>
    <w:rsid w:val="005645A7"/>
    <w:rsid w:val="00564D5D"/>
    <w:rsid w:val="00565190"/>
    <w:rsid w:val="00566E4E"/>
    <w:rsid w:val="00572993"/>
    <w:rsid w:val="0057299E"/>
    <w:rsid w:val="00574BE5"/>
    <w:rsid w:val="00574D8C"/>
    <w:rsid w:val="005752A4"/>
    <w:rsid w:val="00575B87"/>
    <w:rsid w:val="00575F15"/>
    <w:rsid w:val="005776FE"/>
    <w:rsid w:val="005815F0"/>
    <w:rsid w:val="00581FD7"/>
    <w:rsid w:val="00582794"/>
    <w:rsid w:val="005834D6"/>
    <w:rsid w:val="00585240"/>
    <w:rsid w:val="00586844"/>
    <w:rsid w:val="00587256"/>
    <w:rsid w:val="005878ED"/>
    <w:rsid w:val="0058796B"/>
    <w:rsid w:val="005902A4"/>
    <w:rsid w:val="005907C8"/>
    <w:rsid w:val="005909DC"/>
    <w:rsid w:val="00590B4F"/>
    <w:rsid w:val="00592F69"/>
    <w:rsid w:val="00594453"/>
    <w:rsid w:val="00596806"/>
    <w:rsid w:val="0059760B"/>
    <w:rsid w:val="005A093A"/>
    <w:rsid w:val="005A1D08"/>
    <w:rsid w:val="005A3E10"/>
    <w:rsid w:val="005A450D"/>
    <w:rsid w:val="005A4962"/>
    <w:rsid w:val="005A4CD1"/>
    <w:rsid w:val="005A5243"/>
    <w:rsid w:val="005A5529"/>
    <w:rsid w:val="005A710B"/>
    <w:rsid w:val="005A71E4"/>
    <w:rsid w:val="005B08A4"/>
    <w:rsid w:val="005B12AD"/>
    <w:rsid w:val="005B1602"/>
    <w:rsid w:val="005B31C8"/>
    <w:rsid w:val="005B4335"/>
    <w:rsid w:val="005B45B4"/>
    <w:rsid w:val="005B4F3F"/>
    <w:rsid w:val="005B657B"/>
    <w:rsid w:val="005B6595"/>
    <w:rsid w:val="005B76B3"/>
    <w:rsid w:val="005B7CCD"/>
    <w:rsid w:val="005C0239"/>
    <w:rsid w:val="005C03C5"/>
    <w:rsid w:val="005C16DA"/>
    <w:rsid w:val="005C641F"/>
    <w:rsid w:val="005C7AE7"/>
    <w:rsid w:val="005D066A"/>
    <w:rsid w:val="005D0F61"/>
    <w:rsid w:val="005D5C5E"/>
    <w:rsid w:val="005D6E0C"/>
    <w:rsid w:val="005E1F99"/>
    <w:rsid w:val="005E4E1D"/>
    <w:rsid w:val="005E5B0D"/>
    <w:rsid w:val="005E5C03"/>
    <w:rsid w:val="005E6D3A"/>
    <w:rsid w:val="005E6FF7"/>
    <w:rsid w:val="005E731B"/>
    <w:rsid w:val="005E78D7"/>
    <w:rsid w:val="005E7D34"/>
    <w:rsid w:val="005F00E4"/>
    <w:rsid w:val="005F0AC0"/>
    <w:rsid w:val="005F1E09"/>
    <w:rsid w:val="005F30DF"/>
    <w:rsid w:val="005F5258"/>
    <w:rsid w:val="005F7C2F"/>
    <w:rsid w:val="005F7C31"/>
    <w:rsid w:val="006002BE"/>
    <w:rsid w:val="00601FA8"/>
    <w:rsid w:val="00603D65"/>
    <w:rsid w:val="006046AB"/>
    <w:rsid w:val="00604DDE"/>
    <w:rsid w:val="00605609"/>
    <w:rsid w:val="006060E4"/>
    <w:rsid w:val="00607846"/>
    <w:rsid w:val="00610519"/>
    <w:rsid w:val="00620F40"/>
    <w:rsid w:val="0062187B"/>
    <w:rsid w:val="00623CBA"/>
    <w:rsid w:val="00624613"/>
    <w:rsid w:val="00626519"/>
    <w:rsid w:val="00626A2B"/>
    <w:rsid w:val="00627A18"/>
    <w:rsid w:val="00627B32"/>
    <w:rsid w:val="006327DB"/>
    <w:rsid w:val="0063345C"/>
    <w:rsid w:val="0063361A"/>
    <w:rsid w:val="006356DC"/>
    <w:rsid w:val="0063608F"/>
    <w:rsid w:val="006422DA"/>
    <w:rsid w:val="00645249"/>
    <w:rsid w:val="006459E7"/>
    <w:rsid w:val="006540E3"/>
    <w:rsid w:val="006578E2"/>
    <w:rsid w:val="00660515"/>
    <w:rsid w:val="0066057C"/>
    <w:rsid w:val="006607EB"/>
    <w:rsid w:val="00660BD6"/>
    <w:rsid w:val="006616D7"/>
    <w:rsid w:val="006657CC"/>
    <w:rsid w:val="00665A63"/>
    <w:rsid w:val="0066639C"/>
    <w:rsid w:val="00666DBD"/>
    <w:rsid w:val="006708D4"/>
    <w:rsid w:val="00672FA4"/>
    <w:rsid w:val="00673408"/>
    <w:rsid w:val="00673557"/>
    <w:rsid w:val="0067477A"/>
    <w:rsid w:val="006771A9"/>
    <w:rsid w:val="00677E72"/>
    <w:rsid w:val="00680573"/>
    <w:rsid w:val="00680CEB"/>
    <w:rsid w:val="00681B25"/>
    <w:rsid w:val="00681CB0"/>
    <w:rsid w:val="0068462F"/>
    <w:rsid w:val="006847F8"/>
    <w:rsid w:val="00684DCC"/>
    <w:rsid w:val="0068577A"/>
    <w:rsid w:val="00685949"/>
    <w:rsid w:val="006905B1"/>
    <w:rsid w:val="00690D40"/>
    <w:rsid w:val="00691247"/>
    <w:rsid w:val="00691FEC"/>
    <w:rsid w:val="006926C1"/>
    <w:rsid w:val="006927EA"/>
    <w:rsid w:val="00692979"/>
    <w:rsid w:val="006935A7"/>
    <w:rsid w:val="006952E3"/>
    <w:rsid w:val="00695F3B"/>
    <w:rsid w:val="006A137C"/>
    <w:rsid w:val="006A1F47"/>
    <w:rsid w:val="006A2C07"/>
    <w:rsid w:val="006A2D0C"/>
    <w:rsid w:val="006A33E5"/>
    <w:rsid w:val="006A3488"/>
    <w:rsid w:val="006A4029"/>
    <w:rsid w:val="006A4D97"/>
    <w:rsid w:val="006B0B39"/>
    <w:rsid w:val="006B2370"/>
    <w:rsid w:val="006B2C26"/>
    <w:rsid w:val="006B4F66"/>
    <w:rsid w:val="006B79C1"/>
    <w:rsid w:val="006B7BCC"/>
    <w:rsid w:val="006C0330"/>
    <w:rsid w:val="006C7A63"/>
    <w:rsid w:val="006D0AE4"/>
    <w:rsid w:val="006D0DF4"/>
    <w:rsid w:val="006D2350"/>
    <w:rsid w:val="006D49FC"/>
    <w:rsid w:val="006E0F11"/>
    <w:rsid w:val="006E15F0"/>
    <w:rsid w:val="006E48D6"/>
    <w:rsid w:val="006E4C34"/>
    <w:rsid w:val="006E55C1"/>
    <w:rsid w:val="006E5B3E"/>
    <w:rsid w:val="006E6990"/>
    <w:rsid w:val="006F0E77"/>
    <w:rsid w:val="006F2CC7"/>
    <w:rsid w:val="006F396A"/>
    <w:rsid w:val="006F63A9"/>
    <w:rsid w:val="006F6DE5"/>
    <w:rsid w:val="006F761D"/>
    <w:rsid w:val="006F798C"/>
    <w:rsid w:val="00700B5B"/>
    <w:rsid w:val="0070326F"/>
    <w:rsid w:val="00706B7E"/>
    <w:rsid w:val="00707801"/>
    <w:rsid w:val="00707B6B"/>
    <w:rsid w:val="00710693"/>
    <w:rsid w:val="00711B13"/>
    <w:rsid w:val="00712CEC"/>
    <w:rsid w:val="00712EAD"/>
    <w:rsid w:val="00715225"/>
    <w:rsid w:val="00715BEF"/>
    <w:rsid w:val="00716AA3"/>
    <w:rsid w:val="00717565"/>
    <w:rsid w:val="00717A74"/>
    <w:rsid w:val="0072049F"/>
    <w:rsid w:val="00720B39"/>
    <w:rsid w:val="00721DCF"/>
    <w:rsid w:val="0072282A"/>
    <w:rsid w:val="0072296F"/>
    <w:rsid w:val="00723545"/>
    <w:rsid w:val="00725109"/>
    <w:rsid w:val="00731468"/>
    <w:rsid w:val="00731496"/>
    <w:rsid w:val="00732363"/>
    <w:rsid w:val="007330AC"/>
    <w:rsid w:val="00734DCC"/>
    <w:rsid w:val="00736C58"/>
    <w:rsid w:val="0073730C"/>
    <w:rsid w:val="00740B40"/>
    <w:rsid w:val="00744E55"/>
    <w:rsid w:val="00745238"/>
    <w:rsid w:val="00745468"/>
    <w:rsid w:val="00746A64"/>
    <w:rsid w:val="00746DAB"/>
    <w:rsid w:val="00747143"/>
    <w:rsid w:val="00747851"/>
    <w:rsid w:val="007479EB"/>
    <w:rsid w:val="0075150E"/>
    <w:rsid w:val="00753418"/>
    <w:rsid w:val="00754515"/>
    <w:rsid w:val="00756EF9"/>
    <w:rsid w:val="007607D1"/>
    <w:rsid w:val="00762F06"/>
    <w:rsid w:val="00763BA0"/>
    <w:rsid w:val="007641A2"/>
    <w:rsid w:val="00765D56"/>
    <w:rsid w:val="00767488"/>
    <w:rsid w:val="00770EEC"/>
    <w:rsid w:val="00773211"/>
    <w:rsid w:val="00774384"/>
    <w:rsid w:val="00780D17"/>
    <w:rsid w:val="007811DE"/>
    <w:rsid w:val="00781B21"/>
    <w:rsid w:val="0078357F"/>
    <w:rsid w:val="007835BF"/>
    <w:rsid w:val="00783ABD"/>
    <w:rsid w:val="007856DA"/>
    <w:rsid w:val="00787D2C"/>
    <w:rsid w:val="00787E95"/>
    <w:rsid w:val="00791861"/>
    <w:rsid w:val="00793788"/>
    <w:rsid w:val="00795437"/>
    <w:rsid w:val="00797A2A"/>
    <w:rsid w:val="00797F42"/>
    <w:rsid w:val="007A0BE4"/>
    <w:rsid w:val="007A1A39"/>
    <w:rsid w:val="007A228B"/>
    <w:rsid w:val="007A270F"/>
    <w:rsid w:val="007A3166"/>
    <w:rsid w:val="007A4C39"/>
    <w:rsid w:val="007A61BD"/>
    <w:rsid w:val="007A72DD"/>
    <w:rsid w:val="007A7350"/>
    <w:rsid w:val="007A7AC6"/>
    <w:rsid w:val="007B09F0"/>
    <w:rsid w:val="007B0FD9"/>
    <w:rsid w:val="007B22F5"/>
    <w:rsid w:val="007B243E"/>
    <w:rsid w:val="007B5213"/>
    <w:rsid w:val="007B6A34"/>
    <w:rsid w:val="007B7BB7"/>
    <w:rsid w:val="007C1173"/>
    <w:rsid w:val="007C11FB"/>
    <w:rsid w:val="007C269A"/>
    <w:rsid w:val="007C4378"/>
    <w:rsid w:val="007C5620"/>
    <w:rsid w:val="007C5F67"/>
    <w:rsid w:val="007C7CDC"/>
    <w:rsid w:val="007C7E34"/>
    <w:rsid w:val="007D07C1"/>
    <w:rsid w:val="007D60D4"/>
    <w:rsid w:val="007E1311"/>
    <w:rsid w:val="007E3218"/>
    <w:rsid w:val="007E5E11"/>
    <w:rsid w:val="007E61BB"/>
    <w:rsid w:val="007E7921"/>
    <w:rsid w:val="007F0551"/>
    <w:rsid w:val="007F1DEB"/>
    <w:rsid w:val="007F62A4"/>
    <w:rsid w:val="007F6511"/>
    <w:rsid w:val="00800B88"/>
    <w:rsid w:val="008010DB"/>
    <w:rsid w:val="008012B5"/>
    <w:rsid w:val="00801650"/>
    <w:rsid w:val="008026EF"/>
    <w:rsid w:val="0080320D"/>
    <w:rsid w:val="00804198"/>
    <w:rsid w:val="0080488F"/>
    <w:rsid w:val="00804995"/>
    <w:rsid w:val="00805E30"/>
    <w:rsid w:val="00806BE3"/>
    <w:rsid w:val="0080742D"/>
    <w:rsid w:val="00807FDF"/>
    <w:rsid w:val="00810444"/>
    <w:rsid w:val="00812021"/>
    <w:rsid w:val="008143BA"/>
    <w:rsid w:val="008160A5"/>
    <w:rsid w:val="00820BE3"/>
    <w:rsid w:val="008217AA"/>
    <w:rsid w:val="00821B67"/>
    <w:rsid w:val="00821EAD"/>
    <w:rsid w:val="0082282E"/>
    <w:rsid w:val="00822A5B"/>
    <w:rsid w:val="008253CC"/>
    <w:rsid w:val="00825BF5"/>
    <w:rsid w:val="008273D3"/>
    <w:rsid w:val="008304A7"/>
    <w:rsid w:val="0083251E"/>
    <w:rsid w:val="008327CC"/>
    <w:rsid w:val="00832D18"/>
    <w:rsid w:val="00832D63"/>
    <w:rsid w:val="00833569"/>
    <w:rsid w:val="00833815"/>
    <w:rsid w:val="008340F2"/>
    <w:rsid w:val="0083536C"/>
    <w:rsid w:val="008365E3"/>
    <w:rsid w:val="00837443"/>
    <w:rsid w:val="008401BF"/>
    <w:rsid w:val="00842058"/>
    <w:rsid w:val="0084392B"/>
    <w:rsid w:val="0084444B"/>
    <w:rsid w:val="00845422"/>
    <w:rsid w:val="00846B98"/>
    <w:rsid w:val="0085029B"/>
    <w:rsid w:val="008525F0"/>
    <w:rsid w:val="0085323C"/>
    <w:rsid w:val="00853CB5"/>
    <w:rsid w:val="00854DEA"/>
    <w:rsid w:val="00856929"/>
    <w:rsid w:val="00862214"/>
    <w:rsid w:val="0086280A"/>
    <w:rsid w:val="00864C3F"/>
    <w:rsid w:val="00865209"/>
    <w:rsid w:val="008653AC"/>
    <w:rsid w:val="00865C0D"/>
    <w:rsid w:val="00866E7C"/>
    <w:rsid w:val="008678BC"/>
    <w:rsid w:val="00867F47"/>
    <w:rsid w:val="00870BB3"/>
    <w:rsid w:val="00871D93"/>
    <w:rsid w:val="00872217"/>
    <w:rsid w:val="0087291D"/>
    <w:rsid w:val="00872C5E"/>
    <w:rsid w:val="00874BBE"/>
    <w:rsid w:val="00875D8F"/>
    <w:rsid w:val="00876FA5"/>
    <w:rsid w:val="0087713D"/>
    <w:rsid w:val="00882A96"/>
    <w:rsid w:val="00883328"/>
    <w:rsid w:val="00883647"/>
    <w:rsid w:val="0088372E"/>
    <w:rsid w:val="00884B5A"/>
    <w:rsid w:val="00887D77"/>
    <w:rsid w:val="00890E5B"/>
    <w:rsid w:val="008954F5"/>
    <w:rsid w:val="00895808"/>
    <w:rsid w:val="0089614E"/>
    <w:rsid w:val="00897F53"/>
    <w:rsid w:val="008A0DEA"/>
    <w:rsid w:val="008A0E8F"/>
    <w:rsid w:val="008A2635"/>
    <w:rsid w:val="008A2E2B"/>
    <w:rsid w:val="008A4954"/>
    <w:rsid w:val="008A4CDD"/>
    <w:rsid w:val="008A5470"/>
    <w:rsid w:val="008A6677"/>
    <w:rsid w:val="008A6D2D"/>
    <w:rsid w:val="008A7744"/>
    <w:rsid w:val="008B0D15"/>
    <w:rsid w:val="008B194B"/>
    <w:rsid w:val="008B201C"/>
    <w:rsid w:val="008B339F"/>
    <w:rsid w:val="008B53E7"/>
    <w:rsid w:val="008B551A"/>
    <w:rsid w:val="008B562F"/>
    <w:rsid w:val="008B746F"/>
    <w:rsid w:val="008C01EF"/>
    <w:rsid w:val="008C202A"/>
    <w:rsid w:val="008C3011"/>
    <w:rsid w:val="008C4C9A"/>
    <w:rsid w:val="008C4EA8"/>
    <w:rsid w:val="008C5367"/>
    <w:rsid w:val="008C6717"/>
    <w:rsid w:val="008C7D1F"/>
    <w:rsid w:val="008D3947"/>
    <w:rsid w:val="008D4B1F"/>
    <w:rsid w:val="008D5D83"/>
    <w:rsid w:val="008D603D"/>
    <w:rsid w:val="008D6EFE"/>
    <w:rsid w:val="008D6FB2"/>
    <w:rsid w:val="008D7CA6"/>
    <w:rsid w:val="008E1CE2"/>
    <w:rsid w:val="008E4FE6"/>
    <w:rsid w:val="008E5B25"/>
    <w:rsid w:val="008E6D24"/>
    <w:rsid w:val="008F0191"/>
    <w:rsid w:val="008F0C7B"/>
    <w:rsid w:val="008F0E82"/>
    <w:rsid w:val="008F167E"/>
    <w:rsid w:val="008F3052"/>
    <w:rsid w:val="008F4ED5"/>
    <w:rsid w:val="008F757A"/>
    <w:rsid w:val="008F7E1E"/>
    <w:rsid w:val="009007AD"/>
    <w:rsid w:val="00900952"/>
    <w:rsid w:val="00901328"/>
    <w:rsid w:val="00903078"/>
    <w:rsid w:val="009040FA"/>
    <w:rsid w:val="009045F7"/>
    <w:rsid w:val="009061B4"/>
    <w:rsid w:val="009062A5"/>
    <w:rsid w:val="00907610"/>
    <w:rsid w:val="0091114E"/>
    <w:rsid w:val="00912284"/>
    <w:rsid w:val="00913467"/>
    <w:rsid w:val="00914A7D"/>
    <w:rsid w:val="00916450"/>
    <w:rsid w:val="00916A6B"/>
    <w:rsid w:val="0092021F"/>
    <w:rsid w:val="00921167"/>
    <w:rsid w:val="00921211"/>
    <w:rsid w:val="009244BD"/>
    <w:rsid w:val="00924D05"/>
    <w:rsid w:val="00925190"/>
    <w:rsid w:val="0092548C"/>
    <w:rsid w:val="009262A7"/>
    <w:rsid w:val="009262DD"/>
    <w:rsid w:val="00930CEB"/>
    <w:rsid w:val="0093122A"/>
    <w:rsid w:val="009325F2"/>
    <w:rsid w:val="0093291E"/>
    <w:rsid w:val="00932DFB"/>
    <w:rsid w:val="0093349B"/>
    <w:rsid w:val="00933BD3"/>
    <w:rsid w:val="00933D0F"/>
    <w:rsid w:val="0093754A"/>
    <w:rsid w:val="00940C76"/>
    <w:rsid w:val="00941D15"/>
    <w:rsid w:val="009420BF"/>
    <w:rsid w:val="00942A1A"/>
    <w:rsid w:val="009435E0"/>
    <w:rsid w:val="009440C2"/>
    <w:rsid w:val="009463EB"/>
    <w:rsid w:val="009467F9"/>
    <w:rsid w:val="00947325"/>
    <w:rsid w:val="00951923"/>
    <w:rsid w:val="00951E4A"/>
    <w:rsid w:val="00954067"/>
    <w:rsid w:val="00954852"/>
    <w:rsid w:val="00956A72"/>
    <w:rsid w:val="009614D0"/>
    <w:rsid w:val="00961ED0"/>
    <w:rsid w:val="00962754"/>
    <w:rsid w:val="00965AE0"/>
    <w:rsid w:val="00967A7D"/>
    <w:rsid w:val="00967B4E"/>
    <w:rsid w:val="00972F4E"/>
    <w:rsid w:val="0097436D"/>
    <w:rsid w:val="0097463C"/>
    <w:rsid w:val="0097610E"/>
    <w:rsid w:val="009772BD"/>
    <w:rsid w:val="00982DF6"/>
    <w:rsid w:val="00983957"/>
    <w:rsid w:val="00984E18"/>
    <w:rsid w:val="00986E63"/>
    <w:rsid w:val="009877F5"/>
    <w:rsid w:val="009915F3"/>
    <w:rsid w:val="009917A4"/>
    <w:rsid w:val="00991AF4"/>
    <w:rsid w:val="00991D05"/>
    <w:rsid w:val="009922F4"/>
    <w:rsid w:val="00996EAD"/>
    <w:rsid w:val="009973DE"/>
    <w:rsid w:val="009A0F94"/>
    <w:rsid w:val="009A3C61"/>
    <w:rsid w:val="009A455C"/>
    <w:rsid w:val="009A4B01"/>
    <w:rsid w:val="009A4CD6"/>
    <w:rsid w:val="009A61BD"/>
    <w:rsid w:val="009A6A7D"/>
    <w:rsid w:val="009A778A"/>
    <w:rsid w:val="009B2125"/>
    <w:rsid w:val="009B22CE"/>
    <w:rsid w:val="009B2F73"/>
    <w:rsid w:val="009B4F85"/>
    <w:rsid w:val="009B50EC"/>
    <w:rsid w:val="009B6758"/>
    <w:rsid w:val="009B6B62"/>
    <w:rsid w:val="009B6E52"/>
    <w:rsid w:val="009C0C0E"/>
    <w:rsid w:val="009C20C2"/>
    <w:rsid w:val="009C3593"/>
    <w:rsid w:val="009C36A5"/>
    <w:rsid w:val="009C4632"/>
    <w:rsid w:val="009C516B"/>
    <w:rsid w:val="009C536B"/>
    <w:rsid w:val="009C7D21"/>
    <w:rsid w:val="009D0E1C"/>
    <w:rsid w:val="009D1749"/>
    <w:rsid w:val="009D27B3"/>
    <w:rsid w:val="009D3081"/>
    <w:rsid w:val="009D3974"/>
    <w:rsid w:val="009D5B6E"/>
    <w:rsid w:val="009D663C"/>
    <w:rsid w:val="009E03BA"/>
    <w:rsid w:val="009E36E4"/>
    <w:rsid w:val="009E442C"/>
    <w:rsid w:val="009E4BFF"/>
    <w:rsid w:val="009E5795"/>
    <w:rsid w:val="009E7FA1"/>
    <w:rsid w:val="009F03E4"/>
    <w:rsid w:val="009F11BB"/>
    <w:rsid w:val="009F15CB"/>
    <w:rsid w:val="009F1876"/>
    <w:rsid w:val="009F4344"/>
    <w:rsid w:val="009F48D0"/>
    <w:rsid w:val="009F58ED"/>
    <w:rsid w:val="009F5A75"/>
    <w:rsid w:val="009F66B0"/>
    <w:rsid w:val="009F7109"/>
    <w:rsid w:val="00A01E4D"/>
    <w:rsid w:val="00A02811"/>
    <w:rsid w:val="00A0365D"/>
    <w:rsid w:val="00A03718"/>
    <w:rsid w:val="00A04C67"/>
    <w:rsid w:val="00A05998"/>
    <w:rsid w:val="00A06720"/>
    <w:rsid w:val="00A10138"/>
    <w:rsid w:val="00A13470"/>
    <w:rsid w:val="00A14A62"/>
    <w:rsid w:val="00A1522E"/>
    <w:rsid w:val="00A17009"/>
    <w:rsid w:val="00A22D1C"/>
    <w:rsid w:val="00A23499"/>
    <w:rsid w:val="00A24369"/>
    <w:rsid w:val="00A25491"/>
    <w:rsid w:val="00A25A7E"/>
    <w:rsid w:val="00A25EA4"/>
    <w:rsid w:val="00A26754"/>
    <w:rsid w:val="00A26994"/>
    <w:rsid w:val="00A26C24"/>
    <w:rsid w:val="00A2719B"/>
    <w:rsid w:val="00A27938"/>
    <w:rsid w:val="00A27E8E"/>
    <w:rsid w:val="00A30A36"/>
    <w:rsid w:val="00A314E8"/>
    <w:rsid w:val="00A3638A"/>
    <w:rsid w:val="00A37D12"/>
    <w:rsid w:val="00A37D3B"/>
    <w:rsid w:val="00A41B03"/>
    <w:rsid w:val="00A41B63"/>
    <w:rsid w:val="00A41D29"/>
    <w:rsid w:val="00A43A08"/>
    <w:rsid w:val="00A43E24"/>
    <w:rsid w:val="00A44018"/>
    <w:rsid w:val="00A4513D"/>
    <w:rsid w:val="00A46321"/>
    <w:rsid w:val="00A46C2B"/>
    <w:rsid w:val="00A47EB5"/>
    <w:rsid w:val="00A5002E"/>
    <w:rsid w:val="00A519A2"/>
    <w:rsid w:val="00A5248E"/>
    <w:rsid w:val="00A541CB"/>
    <w:rsid w:val="00A54C14"/>
    <w:rsid w:val="00A553EA"/>
    <w:rsid w:val="00A55B79"/>
    <w:rsid w:val="00A576A1"/>
    <w:rsid w:val="00A60B1D"/>
    <w:rsid w:val="00A61A0C"/>
    <w:rsid w:val="00A6306D"/>
    <w:rsid w:val="00A63217"/>
    <w:rsid w:val="00A65FF1"/>
    <w:rsid w:val="00A67529"/>
    <w:rsid w:val="00A67A67"/>
    <w:rsid w:val="00A72760"/>
    <w:rsid w:val="00A73F31"/>
    <w:rsid w:val="00A7499A"/>
    <w:rsid w:val="00A76BF8"/>
    <w:rsid w:val="00A8073A"/>
    <w:rsid w:val="00A80FDA"/>
    <w:rsid w:val="00A822E5"/>
    <w:rsid w:val="00A834F0"/>
    <w:rsid w:val="00A85897"/>
    <w:rsid w:val="00A8640F"/>
    <w:rsid w:val="00A87C6C"/>
    <w:rsid w:val="00A90096"/>
    <w:rsid w:val="00A90FDF"/>
    <w:rsid w:val="00A91B27"/>
    <w:rsid w:val="00A92241"/>
    <w:rsid w:val="00A92BCE"/>
    <w:rsid w:val="00A92CC9"/>
    <w:rsid w:val="00A93267"/>
    <w:rsid w:val="00A9344D"/>
    <w:rsid w:val="00A94F2F"/>
    <w:rsid w:val="00A95217"/>
    <w:rsid w:val="00AA04F8"/>
    <w:rsid w:val="00AA0799"/>
    <w:rsid w:val="00AA1BEC"/>
    <w:rsid w:val="00AA496A"/>
    <w:rsid w:val="00AA675F"/>
    <w:rsid w:val="00AA6C04"/>
    <w:rsid w:val="00AA7543"/>
    <w:rsid w:val="00AA7EA2"/>
    <w:rsid w:val="00AB1BD4"/>
    <w:rsid w:val="00AB259B"/>
    <w:rsid w:val="00AB39C7"/>
    <w:rsid w:val="00AB4109"/>
    <w:rsid w:val="00AB5F67"/>
    <w:rsid w:val="00AB7AA0"/>
    <w:rsid w:val="00AB7FFD"/>
    <w:rsid w:val="00AC1260"/>
    <w:rsid w:val="00AC1BD6"/>
    <w:rsid w:val="00AC1BE7"/>
    <w:rsid w:val="00AC22A8"/>
    <w:rsid w:val="00AC245C"/>
    <w:rsid w:val="00AC2657"/>
    <w:rsid w:val="00AC2DB4"/>
    <w:rsid w:val="00AC30C7"/>
    <w:rsid w:val="00AC3949"/>
    <w:rsid w:val="00AC4383"/>
    <w:rsid w:val="00AC5A63"/>
    <w:rsid w:val="00AC6C2B"/>
    <w:rsid w:val="00AC7D5E"/>
    <w:rsid w:val="00AC7DDB"/>
    <w:rsid w:val="00AD13F6"/>
    <w:rsid w:val="00AD2239"/>
    <w:rsid w:val="00AD36EE"/>
    <w:rsid w:val="00AD384B"/>
    <w:rsid w:val="00AD5088"/>
    <w:rsid w:val="00AD5228"/>
    <w:rsid w:val="00AD5BFD"/>
    <w:rsid w:val="00AE02D5"/>
    <w:rsid w:val="00AE1E0D"/>
    <w:rsid w:val="00AE1EC8"/>
    <w:rsid w:val="00AE224B"/>
    <w:rsid w:val="00AE2596"/>
    <w:rsid w:val="00AE2C94"/>
    <w:rsid w:val="00AE2E77"/>
    <w:rsid w:val="00AE35A6"/>
    <w:rsid w:val="00AE52EC"/>
    <w:rsid w:val="00AE6530"/>
    <w:rsid w:val="00AE67BA"/>
    <w:rsid w:val="00AE76F4"/>
    <w:rsid w:val="00AE7F5D"/>
    <w:rsid w:val="00AF00B2"/>
    <w:rsid w:val="00AF09A6"/>
    <w:rsid w:val="00AF15D9"/>
    <w:rsid w:val="00AF1ACC"/>
    <w:rsid w:val="00AF1F2A"/>
    <w:rsid w:val="00AF269A"/>
    <w:rsid w:val="00AF3AC6"/>
    <w:rsid w:val="00AF3F2B"/>
    <w:rsid w:val="00AF7163"/>
    <w:rsid w:val="00AF7401"/>
    <w:rsid w:val="00B0065E"/>
    <w:rsid w:val="00B030D4"/>
    <w:rsid w:val="00B066E7"/>
    <w:rsid w:val="00B06ED5"/>
    <w:rsid w:val="00B07297"/>
    <w:rsid w:val="00B07665"/>
    <w:rsid w:val="00B0776D"/>
    <w:rsid w:val="00B1139F"/>
    <w:rsid w:val="00B128CF"/>
    <w:rsid w:val="00B13188"/>
    <w:rsid w:val="00B139F6"/>
    <w:rsid w:val="00B14330"/>
    <w:rsid w:val="00B1526D"/>
    <w:rsid w:val="00B1635A"/>
    <w:rsid w:val="00B174E8"/>
    <w:rsid w:val="00B216AB"/>
    <w:rsid w:val="00B22714"/>
    <w:rsid w:val="00B2366A"/>
    <w:rsid w:val="00B2622F"/>
    <w:rsid w:val="00B276DA"/>
    <w:rsid w:val="00B33C9D"/>
    <w:rsid w:val="00B347AD"/>
    <w:rsid w:val="00B37CDA"/>
    <w:rsid w:val="00B40034"/>
    <w:rsid w:val="00B4365E"/>
    <w:rsid w:val="00B43D02"/>
    <w:rsid w:val="00B44D0B"/>
    <w:rsid w:val="00B466EA"/>
    <w:rsid w:val="00B471FC"/>
    <w:rsid w:val="00B477C5"/>
    <w:rsid w:val="00B47D99"/>
    <w:rsid w:val="00B5035F"/>
    <w:rsid w:val="00B5222B"/>
    <w:rsid w:val="00B52B7F"/>
    <w:rsid w:val="00B52DC5"/>
    <w:rsid w:val="00B56850"/>
    <w:rsid w:val="00B57F4D"/>
    <w:rsid w:val="00B62294"/>
    <w:rsid w:val="00B625A1"/>
    <w:rsid w:val="00B62705"/>
    <w:rsid w:val="00B63CDD"/>
    <w:rsid w:val="00B660B4"/>
    <w:rsid w:val="00B67012"/>
    <w:rsid w:val="00B73D8E"/>
    <w:rsid w:val="00B75064"/>
    <w:rsid w:val="00B767B2"/>
    <w:rsid w:val="00B77443"/>
    <w:rsid w:val="00B801A3"/>
    <w:rsid w:val="00B81D14"/>
    <w:rsid w:val="00B827B9"/>
    <w:rsid w:val="00B84CF1"/>
    <w:rsid w:val="00B85891"/>
    <w:rsid w:val="00B85B07"/>
    <w:rsid w:val="00B86A92"/>
    <w:rsid w:val="00B86C75"/>
    <w:rsid w:val="00B87A37"/>
    <w:rsid w:val="00B909CE"/>
    <w:rsid w:val="00B90E09"/>
    <w:rsid w:val="00B91D66"/>
    <w:rsid w:val="00B94EDE"/>
    <w:rsid w:val="00B97CF6"/>
    <w:rsid w:val="00BA1FFC"/>
    <w:rsid w:val="00BA26A8"/>
    <w:rsid w:val="00BA4446"/>
    <w:rsid w:val="00BA6216"/>
    <w:rsid w:val="00BA70A9"/>
    <w:rsid w:val="00BB0361"/>
    <w:rsid w:val="00BB3F3B"/>
    <w:rsid w:val="00BB3F8C"/>
    <w:rsid w:val="00BB5434"/>
    <w:rsid w:val="00BC043C"/>
    <w:rsid w:val="00BC0D4B"/>
    <w:rsid w:val="00BC0E9C"/>
    <w:rsid w:val="00BC39CC"/>
    <w:rsid w:val="00BC3ACA"/>
    <w:rsid w:val="00BC3F01"/>
    <w:rsid w:val="00BC423F"/>
    <w:rsid w:val="00BC4717"/>
    <w:rsid w:val="00BC4BA8"/>
    <w:rsid w:val="00BC4C10"/>
    <w:rsid w:val="00BC552D"/>
    <w:rsid w:val="00BC5B67"/>
    <w:rsid w:val="00BC62FC"/>
    <w:rsid w:val="00BC7EA4"/>
    <w:rsid w:val="00BD0025"/>
    <w:rsid w:val="00BD1C95"/>
    <w:rsid w:val="00BD24C0"/>
    <w:rsid w:val="00BE0553"/>
    <w:rsid w:val="00BE07A6"/>
    <w:rsid w:val="00BE1C7E"/>
    <w:rsid w:val="00BF0726"/>
    <w:rsid w:val="00BF26A3"/>
    <w:rsid w:val="00BF49C3"/>
    <w:rsid w:val="00BF584C"/>
    <w:rsid w:val="00BF7012"/>
    <w:rsid w:val="00BF71F9"/>
    <w:rsid w:val="00BF7CBA"/>
    <w:rsid w:val="00C02974"/>
    <w:rsid w:val="00C032AC"/>
    <w:rsid w:val="00C05EDB"/>
    <w:rsid w:val="00C07B98"/>
    <w:rsid w:val="00C106A6"/>
    <w:rsid w:val="00C11EE2"/>
    <w:rsid w:val="00C14947"/>
    <w:rsid w:val="00C1576C"/>
    <w:rsid w:val="00C17601"/>
    <w:rsid w:val="00C1793A"/>
    <w:rsid w:val="00C231BA"/>
    <w:rsid w:val="00C24222"/>
    <w:rsid w:val="00C25515"/>
    <w:rsid w:val="00C25747"/>
    <w:rsid w:val="00C25804"/>
    <w:rsid w:val="00C26AEF"/>
    <w:rsid w:val="00C30A78"/>
    <w:rsid w:val="00C323E6"/>
    <w:rsid w:val="00C32D77"/>
    <w:rsid w:val="00C33AEC"/>
    <w:rsid w:val="00C33FE6"/>
    <w:rsid w:val="00C34408"/>
    <w:rsid w:val="00C40A65"/>
    <w:rsid w:val="00C40AA4"/>
    <w:rsid w:val="00C40DF5"/>
    <w:rsid w:val="00C40EB5"/>
    <w:rsid w:val="00C42CC2"/>
    <w:rsid w:val="00C44380"/>
    <w:rsid w:val="00C447EA"/>
    <w:rsid w:val="00C451B2"/>
    <w:rsid w:val="00C45600"/>
    <w:rsid w:val="00C46214"/>
    <w:rsid w:val="00C463FE"/>
    <w:rsid w:val="00C46D5A"/>
    <w:rsid w:val="00C50029"/>
    <w:rsid w:val="00C5111C"/>
    <w:rsid w:val="00C5160F"/>
    <w:rsid w:val="00C51FBC"/>
    <w:rsid w:val="00C52CB6"/>
    <w:rsid w:val="00C55FBE"/>
    <w:rsid w:val="00C565CF"/>
    <w:rsid w:val="00C570C6"/>
    <w:rsid w:val="00C5752F"/>
    <w:rsid w:val="00C619C3"/>
    <w:rsid w:val="00C637C8"/>
    <w:rsid w:val="00C637CF"/>
    <w:rsid w:val="00C64D52"/>
    <w:rsid w:val="00C671C9"/>
    <w:rsid w:val="00C71878"/>
    <w:rsid w:val="00C7255A"/>
    <w:rsid w:val="00C72F1D"/>
    <w:rsid w:val="00C7343B"/>
    <w:rsid w:val="00C7388B"/>
    <w:rsid w:val="00C74085"/>
    <w:rsid w:val="00C746FE"/>
    <w:rsid w:val="00C75284"/>
    <w:rsid w:val="00C7616C"/>
    <w:rsid w:val="00C766E5"/>
    <w:rsid w:val="00C76E4E"/>
    <w:rsid w:val="00C83080"/>
    <w:rsid w:val="00C842FC"/>
    <w:rsid w:val="00C85B06"/>
    <w:rsid w:val="00C85CFD"/>
    <w:rsid w:val="00C87731"/>
    <w:rsid w:val="00C87D23"/>
    <w:rsid w:val="00C87FB7"/>
    <w:rsid w:val="00C9087D"/>
    <w:rsid w:val="00C908EB"/>
    <w:rsid w:val="00C90F68"/>
    <w:rsid w:val="00C92436"/>
    <w:rsid w:val="00C927E5"/>
    <w:rsid w:val="00C92F5F"/>
    <w:rsid w:val="00C94E8E"/>
    <w:rsid w:val="00CA17B6"/>
    <w:rsid w:val="00CA384B"/>
    <w:rsid w:val="00CA3E32"/>
    <w:rsid w:val="00CA49CD"/>
    <w:rsid w:val="00CA535C"/>
    <w:rsid w:val="00CA6E5F"/>
    <w:rsid w:val="00CB0283"/>
    <w:rsid w:val="00CB14CA"/>
    <w:rsid w:val="00CB1859"/>
    <w:rsid w:val="00CB26FF"/>
    <w:rsid w:val="00CB375B"/>
    <w:rsid w:val="00CB645E"/>
    <w:rsid w:val="00CC051F"/>
    <w:rsid w:val="00CC09FF"/>
    <w:rsid w:val="00CC3381"/>
    <w:rsid w:val="00CC36B2"/>
    <w:rsid w:val="00CC4A5A"/>
    <w:rsid w:val="00CC580A"/>
    <w:rsid w:val="00CD0B16"/>
    <w:rsid w:val="00CD3C02"/>
    <w:rsid w:val="00CD4BEB"/>
    <w:rsid w:val="00CD4D1E"/>
    <w:rsid w:val="00CD5E96"/>
    <w:rsid w:val="00CD5ED6"/>
    <w:rsid w:val="00CD65D6"/>
    <w:rsid w:val="00CD6967"/>
    <w:rsid w:val="00CE2FE2"/>
    <w:rsid w:val="00CE6915"/>
    <w:rsid w:val="00CE79E0"/>
    <w:rsid w:val="00CF04A4"/>
    <w:rsid w:val="00CF181C"/>
    <w:rsid w:val="00CF296D"/>
    <w:rsid w:val="00CF2BD7"/>
    <w:rsid w:val="00CF4246"/>
    <w:rsid w:val="00CF5EDB"/>
    <w:rsid w:val="00CF60AE"/>
    <w:rsid w:val="00CF63B0"/>
    <w:rsid w:val="00D01640"/>
    <w:rsid w:val="00D03481"/>
    <w:rsid w:val="00D04338"/>
    <w:rsid w:val="00D05140"/>
    <w:rsid w:val="00D05A24"/>
    <w:rsid w:val="00D05CA4"/>
    <w:rsid w:val="00D064D6"/>
    <w:rsid w:val="00D06CE6"/>
    <w:rsid w:val="00D11619"/>
    <w:rsid w:val="00D1169D"/>
    <w:rsid w:val="00D1302B"/>
    <w:rsid w:val="00D134A3"/>
    <w:rsid w:val="00D15657"/>
    <w:rsid w:val="00D162A6"/>
    <w:rsid w:val="00D16EB9"/>
    <w:rsid w:val="00D2118F"/>
    <w:rsid w:val="00D212BF"/>
    <w:rsid w:val="00D2150B"/>
    <w:rsid w:val="00D2192F"/>
    <w:rsid w:val="00D21A82"/>
    <w:rsid w:val="00D21D37"/>
    <w:rsid w:val="00D2283F"/>
    <w:rsid w:val="00D23C15"/>
    <w:rsid w:val="00D23D7E"/>
    <w:rsid w:val="00D24994"/>
    <w:rsid w:val="00D2648B"/>
    <w:rsid w:val="00D26F5E"/>
    <w:rsid w:val="00D27923"/>
    <w:rsid w:val="00D27E22"/>
    <w:rsid w:val="00D304F7"/>
    <w:rsid w:val="00D30810"/>
    <w:rsid w:val="00D33CA4"/>
    <w:rsid w:val="00D35502"/>
    <w:rsid w:val="00D35A4E"/>
    <w:rsid w:val="00D35B26"/>
    <w:rsid w:val="00D35CF3"/>
    <w:rsid w:val="00D373B6"/>
    <w:rsid w:val="00D37FC9"/>
    <w:rsid w:val="00D403FC"/>
    <w:rsid w:val="00D4063A"/>
    <w:rsid w:val="00D40CFD"/>
    <w:rsid w:val="00D4287C"/>
    <w:rsid w:val="00D435CA"/>
    <w:rsid w:val="00D43E55"/>
    <w:rsid w:val="00D44CE0"/>
    <w:rsid w:val="00D463D4"/>
    <w:rsid w:val="00D4663A"/>
    <w:rsid w:val="00D477DF"/>
    <w:rsid w:val="00D47E6B"/>
    <w:rsid w:val="00D47FF4"/>
    <w:rsid w:val="00D52934"/>
    <w:rsid w:val="00D529AC"/>
    <w:rsid w:val="00D53042"/>
    <w:rsid w:val="00D5339B"/>
    <w:rsid w:val="00D54D3A"/>
    <w:rsid w:val="00D60381"/>
    <w:rsid w:val="00D6506A"/>
    <w:rsid w:val="00D663E0"/>
    <w:rsid w:val="00D67644"/>
    <w:rsid w:val="00D676BB"/>
    <w:rsid w:val="00D716F3"/>
    <w:rsid w:val="00D71C54"/>
    <w:rsid w:val="00D71D56"/>
    <w:rsid w:val="00D7256C"/>
    <w:rsid w:val="00D73F47"/>
    <w:rsid w:val="00D73F68"/>
    <w:rsid w:val="00D77C69"/>
    <w:rsid w:val="00D800D6"/>
    <w:rsid w:val="00D81008"/>
    <w:rsid w:val="00D82645"/>
    <w:rsid w:val="00D83074"/>
    <w:rsid w:val="00D83FA2"/>
    <w:rsid w:val="00D840B2"/>
    <w:rsid w:val="00D847EC"/>
    <w:rsid w:val="00D84892"/>
    <w:rsid w:val="00D8511F"/>
    <w:rsid w:val="00D85D19"/>
    <w:rsid w:val="00D874F0"/>
    <w:rsid w:val="00D92FA2"/>
    <w:rsid w:val="00D93123"/>
    <w:rsid w:val="00D931BD"/>
    <w:rsid w:val="00D93E7B"/>
    <w:rsid w:val="00D94259"/>
    <w:rsid w:val="00D96656"/>
    <w:rsid w:val="00D979C3"/>
    <w:rsid w:val="00D97E90"/>
    <w:rsid w:val="00DA08E3"/>
    <w:rsid w:val="00DA19D6"/>
    <w:rsid w:val="00DA1D85"/>
    <w:rsid w:val="00DA1E07"/>
    <w:rsid w:val="00DA36CD"/>
    <w:rsid w:val="00DA3BC7"/>
    <w:rsid w:val="00DA41A7"/>
    <w:rsid w:val="00DA454D"/>
    <w:rsid w:val="00DA54BE"/>
    <w:rsid w:val="00DA79F8"/>
    <w:rsid w:val="00DB0CA5"/>
    <w:rsid w:val="00DB276B"/>
    <w:rsid w:val="00DB297F"/>
    <w:rsid w:val="00DB2C87"/>
    <w:rsid w:val="00DB3293"/>
    <w:rsid w:val="00DB3DDB"/>
    <w:rsid w:val="00DB4407"/>
    <w:rsid w:val="00DC23F2"/>
    <w:rsid w:val="00DC76FB"/>
    <w:rsid w:val="00DD0674"/>
    <w:rsid w:val="00DD0E91"/>
    <w:rsid w:val="00DD18C4"/>
    <w:rsid w:val="00DD19EA"/>
    <w:rsid w:val="00DD29BB"/>
    <w:rsid w:val="00DD5ADC"/>
    <w:rsid w:val="00DD5B58"/>
    <w:rsid w:val="00DD5BAD"/>
    <w:rsid w:val="00DD7A41"/>
    <w:rsid w:val="00DD7DFC"/>
    <w:rsid w:val="00DE02F2"/>
    <w:rsid w:val="00DE09A0"/>
    <w:rsid w:val="00DE0C7D"/>
    <w:rsid w:val="00DE1214"/>
    <w:rsid w:val="00DE17C5"/>
    <w:rsid w:val="00DE1C06"/>
    <w:rsid w:val="00DE479D"/>
    <w:rsid w:val="00DE4D8A"/>
    <w:rsid w:val="00DE5FA8"/>
    <w:rsid w:val="00DE60BB"/>
    <w:rsid w:val="00DE6FA3"/>
    <w:rsid w:val="00DE77B6"/>
    <w:rsid w:val="00DF030A"/>
    <w:rsid w:val="00DF1281"/>
    <w:rsid w:val="00DF3C4E"/>
    <w:rsid w:val="00DF5C64"/>
    <w:rsid w:val="00DF6C32"/>
    <w:rsid w:val="00E04BF3"/>
    <w:rsid w:val="00E05EF0"/>
    <w:rsid w:val="00E06208"/>
    <w:rsid w:val="00E103DB"/>
    <w:rsid w:val="00E126A9"/>
    <w:rsid w:val="00E12E61"/>
    <w:rsid w:val="00E14277"/>
    <w:rsid w:val="00E1483E"/>
    <w:rsid w:val="00E15A51"/>
    <w:rsid w:val="00E16B32"/>
    <w:rsid w:val="00E2237B"/>
    <w:rsid w:val="00E223DD"/>
    <w:rsid w:val="00E22AE2"/>
    <w:rsid w:val="00E22ECF"/>
    <w:rsid w:val="00E26D25"/>
    <w:rsid w:val="00E3089B"/>
    <w:rsid w:val="00E31904"/>
    <w:rsid w:val="00E35602"/>
    <w:rsid w:val="00E35965"/>
    <w:rsid w:val="00E36C43"/>
    <w:rsid w:val="00E37676"/>
    <w:rsid w:val="00E378ED"/>
    <w:rsid w:val="00E4096C"/>
    <w:rsid w:val="00E409EE"/>
    <w:rsid w:val="00E41F1F"/>
    <w:rsid w:val="00E4229B"/>
    <w:rsid w:val="00E425F2"/>
    <w:rsid w:val="00E4281E"/>
    <w:rsid w:val="00E431E9"/>
    <w:rsid w:val="00E453F4"/>
    <w:rsid w:val="00E45A5A"/>
    <w:rsid w:val="00E461D4"/>
    <w:rsid w:val="00E47C3D"/>
    <w:rsid w:val="00E50DA7"/>
    <w:rsid w:val="00E5237C"/>
    <w:rsid w:val="00E53734"/>
    <w:rsid w:val="00E56072"/>
    <w:rsid w:val="00E56DA7"/>
    <w:rsid w:val="00E605FF"/>
    <w:rsid w:val="00E60C8B"/>
    <w:rsid w:val="00E60DBD"/>
    <w:rsid w:val="00E639F1"/>
    <w:rsid w:val="00E63ABB"/>
    <w:rsid w:val="00E64526"/>
    <w:rsid w:val="00E65FA3"/>
    <w:rsid w:val="00E66476"/>
    <w:rsid w:val="00E66C51"/>
    <w:rsid w:val="00E73A6C"/>
    <w:rsid w:val="00E74F41"/>
    <w:rsid w:val="00E75DEC"/>
    <w:rsid w:val="00E77A45"/>
    <w:rsid w:val="00E80111"/>
    <w:rsid w:val="00E825E9"/>
    <w:rsid w:val="00E826E8"/>
    <w:rsid w:val="00E8281E"/>
    <w:rsid w:val="00E82978"/>
    <w:rsid w:val="00E84811"/>
    <w:rsid w:val="00E86875"/>
    <w:rsid w:val="00E87743"/>
    <w:rsid w:val="00E945B4"/>
    <w:rsid w:val="00E95B4A"/>
    <w:rsid w:val="00E96D76"/>
    <w:rsid w:val="00E96E67"/>
    <w:rsid w:val="00EA1700"/>
    <w:rsid w:val="00EA2C1C"/>
    <w:rsid w:val="00EA408D"/>
    <w:rsid w:val="00EA40C0"/>
    <w:rsid w:val="00EA44C2"/>
    <w:rsid w:val="00EA4E45"/>
    <w:rsid w:val="00EA6043"/>
    <w:rsid w:val="00EA6819"/>
    <w:rsid w:val="00EA687C"/>
    <w:rsid w:val="00EA6A97"/>
    <w:rsid w:val="00EA7C39"/>
    <w:rsid w:val="00EB0E94"/>
    <w:rsid w:val="00EB1E1A"/>
    <w:rsid w:val="00EB21CF"/>
    <w:rsid w:val="00EB40D7"/>
    <w:rsid w:val="00EB6990"/>
    <w:rsid w:val="00EB7191"/>
    <w:rsid w:val="00EB7650"/>
    <w:rsid w:val="00EC0834"/>
    <w:rsid w:val="00EC092E"/>
    <w:rsid w:val="00EC1DB1"/>
    <w:rsid w:val="00EC2DFD"/>
    <w:rsid w:val="00EC3720"/>
    <w:rsid w:val="00EC5300"/>
    <w:rsid w:val="00EC640C"/>
    <w:rsid w:val="00ED0B06"/>
    <w:rsid w:val="00ED0C5A"/>
    <w:rsid w:val="00ED11B9"/>
    <w:rsid w:val="00ED1F0F"/>
    <w:rsid w:val="00ED2927"/>
    <w:rsid w:val="00ED2E9C"/>
    <w:rsid w:val="00ED3805"/>
    <w:rsid w:val="00ED4217"/>
    <w:rsid w:val="00ED4480"/>
    <w:rsid w:val="00ED4BF2"/>
    <w:rsid w:val="00ED596B"/>
    <w:rsid w:val="00EE2AF4"/>
    <w:rsid w:val="00EE6E7C"/>
    <w:rsid w:val="00EE75D7"/>
    <w:rsid w:val="00EF0B11"/>
    <w:rsid w:val="00EF60B8"/>
    <w:rsid w:val="00EF6ADD"/>
    <w:rsid w:val="00F0069A"/>
    <w:rsid w:val="00F01434"/>
    <w:rsid w:val="00F045E2"/>
    <w:rsid w:val="00F05810"/>
    <w:rsid w:val="00F06105"/>
    <w:rsid w:val="00F063A5"/>
    <w:rsid w:val="00F0680A"/>
    <w:rsid w:val="00F06BF2"/>
    <w:rsid w:val="00F10F83"/>
    <w:rsid w:val="00F11688"/>
    <w:rsid w:val="00F121C6"/>
    <w:rsid w:val="00F133FC"/>
    <w:rsid w:val="00F1389F"/>
    <w:rsid w:val="00F13C4A"/>
    <w:rsid w:val="00F13E03"/>
    <w:rsid w:val="00F14CD8"/>
    <w:rsid w:val="00F1500F"/>
    <w:rsid w:val="00F21674"/>
    <w:rsid w:val="00F23650"/>
    <w:rsid w:val="00F24032"/>
    <w:rsid w:val="00F256B1"/>
    <w:rsid w:val="00F25F79"/>
    <w:rsid w:val="00F3068E"/>
    <w:rsid w:val="00F30B25"/>
    <w:rsid w:val="00F31971"/>
    <w:rsid w:val="00F32ACF"/>
    <w:rsid w:val="00F336C4"/>
    <w:rsid w:val="00F36A7C"/>
    <w:rsid w:val="00F36FDB"/>
    <w:rsid w:val="00F374AC"/>
    <w:rsid w:val="00F409A9"/>
    <w:rsid w:val="00F41722"/>
    <w:rsid w:val="00F42874"/>
    <w:rsid w:val="00F43826"/>
    <w:rsid w:val="00F45985"/>
    <w:rsid w:val="00F526C3"/>
    <w:rsid w:val="00F5273F"/>
    <w:rsid w:val="00F5461D"/>
    <w:rsid w:val="00F561D9"/>
    <w:rsid w:val="00F56204"/>
    <w:rsid w:val="00F571A5"/>
    <w:rsid w:val="00F60338"/>
    <w:rsid w:val="00F60CB3"/>
    <w:rsid w:val="00F61290"/>
    <w:rsid w:val="00F63B12"/>
    <w:rsid w:val="00F63C5D"/>
    <w:rsid w:val="00F65E7C"/>
    <w:rsid w:val="00F67AA4"/>
    <w:rsid w:val="00F734CB"/>
    <w:rsid w:val="00F7355D"/>
    <w:rsid w:val="00F7357C"/>
    <w:rsid w:val="00F736B2"/>
    <w:rsid w:val="00F745E6"/>
    <w:rsid w:val="00F776D0"/>
    <w:rsid w:val="00F77AA6"/>
    <w:rsid w:val="00F77D0F"/>
    <w:rsid w:val="00F82622"/>
    <w:rsid w:val="00F85AC5"/>
    <w:rsid w:val="00F85F41"/>
    <w:rsid w:val="00F870EF"/>
    <w:rsid w:val="00F90A44"/>
    <w:rsid w:val="00F9197C"/>
    <w:rsid w:val="00F94A7C"/>
    <w:rsid w:val="00F96D53"/>
    <w:rsid w:val="00F97C53"/>
    <w:rsid w:val="00FA018B"/>
    <w:rsid w:val="00FA2752"/>
    <w:rsid w:val="00FA30D4"/>
    <w:rsid w:val="00FA42A9"/>
    <w:rsid w:val="00FA4AE7"/>
    <w:rsid w:val="00FA4FEB"/>
    <w:rsid w:val="00FA6970"/>
    <w:rsid w:val="00FB2483"/>
    <w:rsid w:val="00FB2751"/>
    <w:rsid w:val="00FB2A46"/>
    <w:rsid w:val="00FB3DC5"/>
    <w:rsid w:val="00FB4228"/>
    <w:rsid w:val="00FB427F"/>
    <w:rsid w:val="00FB4336"/>
    <w:rsid w:val="00FB68C0"/>
    <w:rsid w:val="00FC1259"/>
    <w:rsid w:val="00FC3A18"/>
    <w:rsid w:val="00FC50FE"/>
    <w:rsid w:val="00FC5622"/>
    <w:rsid w:val="00FC71CC"/>
    <w:rsid w:val="00FC779E"/>
    <w:rsid w:val="00FC78A7"/>
    <w:rsid w:val="00FC793B"/>
    <w:rsid w:val="00FC7AF4"/>
    <w:rsid w:val="00FD0B16"/>
    <w:rsid w:val="00FD0C44"/>
    <w:rsid w:val="00FD2F28"/>
    <w:rsid w:val="00FD34C2"/>
    <w:rsid w:val="00FD487C"/>
    <w:rsid w:val="00FD5143"/>
    <w:rsid w:val="00FD5B63"/>
    <w:rsid w:val="00FD6B3F"/>
    <w:rsid w:val="00FD6DD2"/>
    <w:rsid w:val="00FD7458"/>
    <w:rsid w:val="00FE18B1"/>
    <w:rsid w:val="00FE2371"/>
    <w:rsid w:val="00FE2CF5"/>
    <w:rsid w:val="00FE4F2D"/>
    <w:rsid w:val="00FE6EC8"/>
    <w:rsid w:val="00FE72FC"/>
    <w:rsid w:val="00FE7753"/>
    <w:rsid w:val="00FF144C"/>
    <w:rsid w:val="00FF21CA"/>
    <w:rsid w:val="00FF269D"/>
    <w:rsid w:val="00FF273D"/>
    <w:rsid w:val="00FF4B4E"/>
    <w:rsid w:val="00FF5AD8"/>
    <w:rsid w:val="0282498D"/>
    <w:rsid w:val="07627326"/>
    <w:rsid w:val="07DE1947"/>
    <w:rsid w:val="0AC53B39"/>
    <w:rsid w:val="118C41BE"/>
    <w:rsid w:val="150525C4"/>
    <w:rsid w:val="193864B2"/>
    <w:rsid w:val="1D8117AD"/>
    <w:rsid w:val="21FE78CA"/>
    <w:rsid w:val="23D54BEF"/>
    <w:rsid w:val="2AB770A3"/>
    <w:rsid w:val="2F053E65"/>
    <w:rsid w:val="301741CE"/>
    <w:rsid w:val="313D2BE2"/>
    <w:rsid w:val="3511441F"/>
    <w:rsid w:val="372D5A13"/>
    <w:rsid w:val="3A8C1C1D"/>
    <w:rsid w:val="3AE86EB3"/>
    <w:rsid w:val="3BD83E3D"/>
    <w:rsid w:val="40B309FA"/>
    <w:rsid w:val="43790FC1"/>
    <w:rsid w:val="46714521"/>
    <w:rsid w:val="4C78461C"/>
    <w:rsid w:val="50A306D9"/>
    <w:rsid w:val="56006927"/>
    <w:rsid w:val="57856723"/>
    <w:rsid w:val="57E41FC0"/>
    <w:rsid w:val="58CA6DBA"/>
    <w:rsid w:val="5F4C2FDF"/>
    <w:rsid w:val="5F952C60"/>
    <w:rsid w:val="615B310C"/>
    <w:rsid w:val="64C3035F"/>
    <w:rsid w:val="66616B07"/>
    <w:rsid w:val="683C6633"/>
    <w:rsid w:val="6BF20B14"/>
    <w:rsid w:val="6D5502EE"/>
    <w:rsid w:val="6D871DC2"/>
    <w:rsid w:val="6D891F8B"/>
    <w:rsid w:val="6DD44113"/>
    <w:rsid w:val="6E4A014B"/>
    <w:rsid w:val="77D263BD"/>
    <w:rsid w:val="7BD77C99"/>
    <w:rsid w:val="7C5E6838"/>
    <w:rsid w:val="7D5B0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6"/>
    <w:qFormat/>
    <w:uiPriority w:val="9"/>
    <w:pPr>
      <w:keepNext/>
      <w:keepLines/>
      <w:numPr>
        <w:ilvl w:val="0"/>
        <w:numId w:val="1"/>
      </w:numPr>
      <w:spacing w:before="340" w:after="330" w:line="578" w:lineRule="auto"/>
      <w:outlineLvl w:val="0"/>
    </w:pPr>
    <w:rPr>
      <w:b/>
      <w:bCs/>
      <w:kern w:val="44"/>
      <w:sz w:val="44"/>
      <w:szCs w:val="44"/>
      <w:lang w:val="zh-CN"/>
    </w:rPr>
  </w:style>
  <w:style w:type="paragraph" w:styleId="3">
    <w:name w:val="heading 2"/>
    <w:basedOn w:val="1"/>
    <w:next w:val="1"/>
    <w:link w:val="52"/>
    <w:qFormat/>
    <w:uiPriority w:val="0"/>
    <w:pPr>
      <w:keepNext/>
      <w:keepLines/>
      <w:numPr>
        <w:ilvl w:val="1"/>
        <w:numId w:val="1"/>
      </w:numPr>
      <w:spacing w:before="260" w:after="260" w:line="360" w:lineRule="auto"/>
      <w:outlineLvl w:val="1"/>
    </w:pPr>
    <w:rPr>
      <w:rFonts w:ascii="黑体" w:hAnsi="黑体" w:eastAsia="黑体"/>
      <w:b/>
      <w:bCs/>
      <w:sz w:val="32"/>
      <w:szCs w:val="32"/>
      <w:lang w:val="zh-CN"/>
    </w:rPr>
  </w:style>
  <w:style w:type="paragraph" w:styleId="4">
    <w:name w:val="heading 3"/>
    <w:basedOn w:val="1"/>
    <w:next w:val="1"/>
    <w:link w:val="56"/>
    <w:qFormat/>
    <w:uiPriority w:val="0"/>
    <w:pPr>
      <w:keepNext/>
      <w:keepLines/>
      <w:numPr>
        <w:ilvl w:val="2"/>
        <w:numId w:val="1"/>
      </w:numPr>
      <w:spacing w:before="260" w:after="260" w:line="415" w:lineRule="auto"/>
      <w:outlineLvl w:val="2"/>
    </w:pPr>
    <w:rPr>
      <w:rFonts w:ascii="黑体" w:hAnsi="黑体" w:eastAsia="黑体"/>
      <w:b/>
      <w:bCs/>
      <w:sz w:val="32"/>
      <w:szCs w:val="32"/>
      <w:lang w:val="zh-CN"/>
    </w:rPr>
  </w:style>
  <w:style w:type="paragraph" w:styleId="5">
    <w:name w:val="heading 4"/>
    <w:basedOn w:val="1"/>
    <w:next w:val="1"/>
    <w:link w:val="58"/>
    <w:qFormat/>
    <w:uiPriority w:val="0"/>
    <w:pPr>
      <w:keepNext/>
      <w:keepLines/>
      <w:numPr>
        <w:ilvl w:val="3"/>
        <w:numId w:val="1"/>
      </w:numPr>
      <w:spacing w:before="280" w:after="290" w:line="376" w:lineRule="auto"/>
      <w:outlineLvl w:val="3"/>
    </w:pPr>
    <w:rPr>
      <w:rFonts w:ascii="Cambria" w:hAnsi="Cambria"/>
      <w:b/>
      <w:bCs/>
      <w:sz w:val="24"/>
      <w:szCs w:val="28"/>
      <w:lang w:val="zh-CN"/>
    </w:rPr>
  </w:style>
  <w:style w:type="paragraph" w:styleId="6">
    <w:name w:val="heading 5"/>
    <w:basedOn w:val="1"/>
    <w:next w:val="1"/>
    <w:link w:val="62"/>
    <w:qFormat/>
    <w:uiPriority w:val="0"/>
    <w:pPr>
      <w:keepNext/>
      <w:keepLines/>
      <w:numPr>
        <w:ilvl w:val="4"/>
        <w:numId w:val="1"/>
      </w:numPr>
      <w:spacing w:before="280" w:after="290" w:line="376" w:lineRule="auto"/>
      <w:outlineLvl w:val="4"/>
    </w:pPr>
    <w:rPr>
      <w:b/>
      <w:bCs/>
      <w:sz w:val="24"/>
      <w:szCs w:val="28"/>
      <w:lang w:val="zh-CN"/>
    </w:rPr>
  </w:style>
  <w:style w:type="paragraph" w:styleId="7">
    <w:name w:val="heading 6"/>
    <w:basedOn w:val="1"/>
    <w:next w:val="1"/>
    <w:link w:val="78"/>
    <w:qFormat/>
    <w:uiPriority w:val="0"/>
    <w:pPr>
      <w:keepNext/>
      <w:widowControl/>
      <w:numPr>
        <w:ilvl w:val="5"/>
        <w:numId w:val="1"/>
      </w:numPr>
      <w:spacing w:after="120"/>
      <w:jc w:val="center"/>
      <w:outlineLvl w:val="5"/>
    </w:pPr>
    <w:rPr>
      <w:rFonts w:ascii="Arial" w:hAnsi="Arial"/>
      <w:b/>
      <w:bCs/>
      <w:i/>
      <w:iCs/>
      <w:kern w:val="0"/>
      <w:sz w:val="32"/>
      <w:szCs w:val="32"/>
      <w:lang w:eastAsia="ja-JP"/>
    </w:rPr>
  </w:style>
  <w:style w:type="paragraph" w:styleId="8">
    <w:name w:val="heading 7"/>
    <w:basedOn w:val="1"/>
    <w:next w:val="1"/>
    <w:link w:val="79"/>
    <w:qFormat/>
    <w:uiPriority w:val="0"/>
    <w:pPr>
      <w:widowControl/>
      <w:numPr>
        <w:ilvl w:val="6"/>
        <w:numId w:val="1"/>
      </w:numPr>
      <w:spacing w:before="240" w:after="60"/>
      <w:outlineLvl w:val="6"/>
    </w:pPr>
    <w:rPr>
      <w:rFonts w:ascii="Arial" w:hAnsi="Arial"/>
      <w:kern w:val="0"/>
      <w:sz w:val="20"/>
      <w:szCs w:val="20"/>
      <w:lang w:eastAsia="ja-JP"/>
    </w:rPr>
  </w:style>
  <w:style w:type="paragraph" w:styleId="9">
    <w:name w:val="heading 8"/>
    <w:basedOn w:val="1"/>
    <w:next w:val="1"/>
    <w:link w:val="80"/>
    <w:qFormat/>
    <w:uiPriority w:val="0"/>
    <w:pPr>
      <w:widowControl/>
      <w:numPr>
        <w:ilvl w:val="7"/>
        <w:numId w:val="1"/>
      </w:numPr>
      <w:spacing w:before="240" w:after="60"/>
      <w:outlineLvl w:val="7"/>
    </w:pPr>
    <w:rPr>
      <w:rFonts w:ascii="Arial" w:hAnsi="Arial"/>
      <w:i/>
      <w:iCs/>
      <w:kern w:val="0"/>
      <w:sz w:val="20"/>
      <w:szCs w:val="20"/>
      <w:lang w:eastAsia="ja-JP"/>
    </w:rPr>
  </w:style>
  <w:style w:type="paragraph" w:styleId="10">
    <w:name w:val="heading 9"/>
    <w:basedOn w:val="1"/>
    <w:next w:val="1"/>
    <w:link w:val="81"/>
    <w:qFormat/>
    <w:uiPriority w:val="0"/>
    <w:pPr>
      <w:widowControl/>
      <w:numPr>
        <w:ilvl w:val="8"/>
        <w:numId w:val="1"/>
      </w:numPr>
      <w:spacing w:before="240" w:after="60"/>
      <w:outlineLvl w:val="8"/>
    </w:pPr>
    <w:rPr>
      <w:rFonts w:ascii="Arial" w:hAnsi="Arial"/>
      <w:b/>
      <w:bCs/>
      <w:i/>
      <w:iCs/>
      <w:kern w:val="0"/>
      <w:sz w:val="18"/>
      <w:szCs w:val="18"/>
      <w:lang w:eastAsia="ja-JP"/>
    </w:rPr>
  </w:style>
  <w:style w:type="character" w:default="1" w:styleId="37">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autoSpaceDE w:val="0"/>
      <w:autoSpaceDN w:val="0"/>
      <w:adjustRightInd w:val="0"/>
      <w:spacing w:line="360" w:lineRule="auto"/>
      <w:ind w:firstLine="480" w:firstLineChars="200"/>
      <w:jc w:val="left"/>
      <w:textAlignment w:val="baseline"/>
    </w:pPr>
    <w:rPr>
      <w:rFonts w:ascii="楷体_GB2312" w:hAnsi="Times New Roman" w:eastAsia="楷体_GB2312"/>
      <w:kern w:val="0"/>
      <w:sz w:val="24"/>
      <w:szCs w:val="20"/>
    </w:rPr>
  </w:style>
  <w:style w:type="paragraph" w:styleId="12">
    <w:name w:val="caption"/>
    <w:basedOn w:val="1"/>
    <w:next w:val="1"/>
    <w:unhideWhenUsed/>
    <w:qFormat/>
    <w:uiPriority w:val="35"/>
    <w:rPr>
      <w:rFonts w:ascii="Cambria" w:hAnsi="Cambria" w:eastAsia="黑体"/>
      <w:sz w:val="20"/>
      <w:szCs w:val="20"/>
    </w:rPr>
  </w:style>
  <w:style w:type="paragraph" w:styleId="13">
    <w:name w:val="List Bullet"/>
    <w:basedOn w:val="1"/>
    <w:qFormat/>
    <w:uiPriority w:val="0"/>
    <w:pPr>
      <w:widowControl/>
      <w:numPr>
        <w:ilvl w:val="0"/>
        <w:numId w:val="2"/>
      </w:numPr>
      <w:spacing w:after="120"/>
      <w:jc w:val="left"/>
    </w:pPr>
    <w:rPr>
      <w:rFonts w:ascii="Arial" w:hAnsi="Arial"/>
      <w:kern w:val="0"/>
      <w:sz w:val="20"/>
      <w:szCs w:val="20"/>
      <w:lang w:eastAsia="ja-JP"/>
    </w:rPr>
  </w:style>
  <w:style w:type="paragraph" w:styleId="14">
    <w:name w:val="Document Map"/>
    <w:basedOn w:val="1"/>
    <w:link w:val="57"/>
    <w:semiHidden/>
    <w:unhideWhenUsed/>
    <w:qFormat/>
    <w:uiPriority w:val="99"/>
    <w:rPr>
      <w:rFonts w:ascii="宋体"/>
      <w:sz w:val="18"/>
      <w:szCs w:val="18"/>
      <w:lang w:val="zh-CN"/>
    </w:rPr>
  </w:style>
  <w:style w:type="paragraph" w:styleId="15">
    <w:name w:val="annotation text"/>
    <w:basedOn w:val="1"/>
    <w:link w:val="63"/>
    <w:semiHidden/>
    <w:qFormat/>
    <w:uiPriority w:val="0"/>
    <w:pPr>
      <w:jc w:val="left"/>
    </w:pPr>
    <w:rPr>
      <w:rFonts w:ascii="Times New Roman" w:hAnsi="Times New Roman"/>
      <w:szCs w:val="24"/>
      <w:lang w:val="zh-CN"/>
    </w:rPr>
  </w:style>
  <w:style w:type="paragraph" w:styleId="16">
    <w:name w:val="Closing"/>
    <w:basedOn w:val="1"/>
    <w:link w:val="88"/>
    <w:qFormat/>
    <w:uiPriority w:val="0"/>
    <w:pPr>
      <w:widowControl/>
      <w:spacing w:after="120"/>
      <w:ind w:left="4252"/>
      <w:jc w:val="left"/>
    </w:pPr>
    <w:rPr>
      <w:rFonts w:ascii="Arial" w:hAnsi="Arial"/>
      <w:kern w:val="0"/>
      <w:sz w:val="20"/>
      <w:szCs w:val="20"/>
      <w:lang w:eastAsia="ja-JP"/>
    </w:rPr>
  </w:style>
  <w:style w:type="paragraph" w:styleId="17">
    <w:name w:val="Body Text"/>
    <w:basedOn w:val="1"/>
    <w:link w:val="53"/>
    <w:qFormat/>
    <w:uiPriority w:val="0"/>
    <w:pPr>
      <w:widowControl/>
      <w:spacing w:after="120"/>
      <w:jc w:val="left"/>
    </w:pPr>
    <w:rPr>
      <w:rFonts w:ascii="Arial" w:hAnsi="Arial"/>
      <w:kern w:val="0"/>
      <w:sz w:val="16"/>
      <w:szCs w:val="16"/>
      <w:lang w:val="zh-CN" w:eastAsia="ja-JP"/>
    </w:rPr>
  </w:style>
  <w:style w:type="paragraph" w:styleId="18">
    <w:name w:val="Body Text Indent"/>
    <w:basedOn w:val="1"/>
    <w:link w:val="60"/>
    <w:semiHidden/>
    <w:unhideWhenUsed/>
    <w:qFormat/>
    <w:uiPriority w:val="99"/>
    <w:pPr>
      <w:spacing w:after="120"/>
      <w:ind w:left="420" w:leftChars="200"/>
    </w:pPr>
    <w:rPr>
      <w:lang w:val="zh-CN"/>
    </w:rPr>
  </w:style>
  <w:style w:type="paragraph" w:styleId="19">
    <w:name w:val="toc 3"/>
    <w:basedOn w:val="1"/>
    <w:next w:val="1"/>
    <w:unhideWhenUsed/>
    <w:qFormat/>
    <w:uiPriority w:val="39"/>
    <w:pPr>
      <w:widowControl/>
      <w:spacing w:after="100" w:line="276" w:lineRule="auto"/>
      <w:ind w:left="440"/>
      <w:jc w:val="left"/>
    </w:pPr>
    <w:rPr>
      <w:kern w:val="0"/>
      <w:sz w:val="22"/>
    </w:rPr>
  </w:style>
  <w:style w:type="paragraph" w:styleId="20">
    <w:name w:val="Plain Text"/>
    <w:basedOn w:val="1"/>
    <w:link w:val="87"/>
    <w:qFormat/>
    <w:uiPriority w:val="0"/>
    <w:rPr>
      <w:rFonts w:ascii="宋体" w:hAnsi="Courier New"/>
      <w:szCs w:val="20"/>
    </w:rPr>
  </w:style>
  <w:style w:type="paragraph" w:styleId="21">
    <w:name w:val="List Bullet 5"/>
    <w:basedOn w:val="1"/>
    <w:qFormat/>
    <w:uiPriority w:val="0"/>
    <w:pPr>
      <w:widowControl/>
      <w:numPr>
        <w:ilvl w:val="0"/>
        <w:numId w:val="3"/>
      </w:numPr>
      <w:spacing w:after="120"/>
      <w:jc w:val="left"/>
    </w:pPr>
    <w:rPr>
      <w:rFonts w:ascii="Arial" w:hAnsi="Arial"/>
      <w:kern w:val="0"/>
      <w:sz w:val="20"/>
      <w:szCs w:val="20"/>
      <w:lang w:eastAsia="ja-JP"/>
    </w:rPr>
  </w:style>
  <w:style w:type="paragraph" w:styleId="22">
    <w:name w:val="endnote text"/>
    <w:basedOn w:val="1"/>
    <w:link w:val="90"/>
    <w:semiHidden/>
    <w:unhideWhenUsed/>
    <w:qFormat/>
    <w:uiPriority w:val="99"/>
    <w:pPr>
      <w:snapToGrid w:val="0"/>
      <w:jc w:val="left"/>
    </w:pPr>
  </w:style>
  <w:style w:type="paragraph" w:styleId="23">
    <w:name w:val="Balloon Text"/>
    <w:basedOn w:val="1"/>
    <w:link w:val="44"/>
    <w:semiHidden/>
    <w:unhideWhenUsed/>
    <w:qFormat/>
    <w:uiPriority w:val="99"/>
    <w:rPr>
      <w:kern w:val="0"/>
      <w:sz w:val="18"/>
      <w:szCs w:val="18"/>
      <w:lang w:val="zh-CN"/>
    </w:rPr>
  </w:style>
  <w:style w:type="paragraph" w:styleId="24">
    <w:name w:val="footer"/>
    <w:basedOn w:val="1"/>
    <w:link w:val="43"/>
    <w:unhideWhenUsed/>
    <w:qFormat/>
    <w:uiPriority w:val="99"/>
    <w:pPr>
      <w:tabs>
        <w:tab w:val="center" w:pos="4153"/>
        <w:tab w:val="right" w:pos="8306"/>
      </w:tabs>
      <w:snapToGrid w:val="0"/>
      <w:jc w:val="left"/>
    </w:pPr>
    <w:rPr>
      <w:kern w:val="0"/>
      <w:sz w:val="18"/>
      <w:szCs w:val="18"/>
      <w:lang w:val="zh-CN"/>
    </w:rPr>
  </w:style>
  <w:style w:type="paragraph" w:styleId="25">
    <w:name w:val="header"/>
    <w:basedOn w:val="1"/>
    <w:link w:val="42"/>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26">
    <w:name w:val="Signature"/>
    <w:basedOn w:val="1"/>
    <w:link w:val="48"/>
    <w:qFormat/>
    <w:uiPriority w:val="0"/>
    <w:pPr>
      <w:widowControl/>
      <w:pBdr>
        <w:top w:val="single" w:color="auto" w:sz="4" w:space="1"/>
      </w:pBdr>
      <w:spacing w:before="640"/>
      <w:ind w:right="432"/>
      <w:jc w:val="left"/>
    </w:pPr>
    <w:rPr>
      <w:rFonts w:ascii="Arial" w:hAnsi="Arial"/>
      <w:kern w:val="0"/>
      <w:sz w:val="16"/>
      <w:szCs w:val="20"/>
      <w:lang w:val="zh-CN" w:eastAsia="ja-JP"/>
    </w:rPr>
  </w:style>
  <w:style w:type="paragraph" w:styleId="27">
    <w:name w:val="toc 1"/>
    <w:basedOn w:val="1"/>
    <w:next w:val="1"/>
    <w:unhideWhenUsed/>
    <w:qFormat/>
    <w:uiPriority w:val="39"/>
    <w:pPr>
      <w:widowControl/>
      <w:tabs>
        <w:tab w:val="left" w:pos="567"/>
        <w:tab w:val="right" w:leader="dot" w:pos="8296"/>
      </w:tabs>
      <w:spacing w:after="100" w:line="276" w:lineRule="auto"/>
    </w:pPr>
    <w:rPr>
      <w:kern w:val="0"/>
      <w:sz w:val="22"/>
    </w:rPr>
  </w:style>
  <w:style w:type="paragraph" w:styleId="28">
    <w:name w:val="Subtitle"/>
    <w:basedOn w:val="1"/>
    <w:link w:val="49"/>
    <w:qFormat/>
    <w:uiPriority w:val="11"/>
    <w:pPr>
      <w:widowControl/>
      <w:spacing w:after="240"/>
      <w:jc w:val="center"/>
      <w:outlineLvl w:val="1"/>
    </w:pPr>
    <w:rPr>
      <w:rFonts w:ascii="Arial" w:hAnsi="Arial"/>
      <w:kern w:val="0"/>
      <w:sz w:val="24"/>
      <w:szCs w:val="24"/>
      <w:lang w:val="zh-CN" w:eastAsia="ja-JP"/>
    </w:rPr>
  </w:style>
  <w:style w:type="paragraph" w:styleId="29">
    <w:name w:val="footnote text"/>
    <w:basedOn w:val="1"/>
    <w:link w:val="89"/>
    <w:semiHidden/>
    <w:qFormat/>
    <w:uiPriority w:val="99"/>
    <w:pPr>
      <w:snapToGrid w:val="0"/>
      <w:spacing w:line="360" w:lineRule="auto"/>
      <w:jc w:val="left"/>
    </w:pPr>
    <w:rPr>
      <w:rFonts w:ascii="Times New Roman" w:hAnsi="Times New Roman"/>
      <w:sz w:val="18"/>
      <w:szCs w:val="18"/>
      <w:lang w:val="zh-CN"/>
    </w:rPr>
  </w:style>
  <w:style w:type="paragraph" w:styleId="30">
    <w:name w:val="toc 2"/>
    <w:basedOn w:val="1"/>
    <w:next w:val="1"/>
    <w:unhideWhenUsed/>
    <w:qFormat/>
    <w:uiPriority w:val="39"/>
    <w:pPr>
      <w:widowControl/>
      <w:spacing w:after="100" w:line="276" w:lineRule="auto"/>
      <w:ind w:left="220"/>
      <w:jc w:val="left"/>
    </w:pPr>
    <w:rPr>
      <w:kern w:val="0"/>
      <w:sz w:val="22"/>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2">
    <w:name w:val="Title"/>
    <w:basedOn w:val="1"/>
    <w:next w:val="1"/>
    <w:link w:val="73"/>
    <w:qFormat/>
    <w:uiPriority w:val="0"/>
    <w:pPr>
      <w:jc w:val="center"/>
    </w:pPr>
    <w:rPr>
      <w:rFonts w:eastAsia="黑体"/>
      <w:b/>
      <w:sz w:val="52"/>
      <w:szCs w:val="52"/>
      <w:lang w:val="zh-CN"/>
      <w14:shadow w14:blurRad="50800" w14:dist="38100" w14:dir="2700000" w14:sx="100000" w14:sy="100000" w14:kx="0" w14:ky="0" w14:algn="tl">
        <w14:srgbClr w14:val="000000">
          <w14:alpha w14:val="60000"/>
        </w14:srgbClr>
      </w14:shadow>
    </w:rPr>
  </w:style>
  <w:style w:type="paragraph" w:styleId="33">
    <w:name w:val="annotation subject"/>
    <w:basedOn w:val="15"/>
    <w:next w:val="15"/>
    <w:semiHidden/>
    <w:qFormat/>
    <w:uiPriority w:val="0"/>
    <w:rPr>
      <w:rFonts w:ascii="Calibri" w:hAnsi="Calibri"/>
      <w:b/>
      <w:bCs/>
      <w:szCs w:val="22"/>
      <w:lang w:val="en-US"/>
    </w:rPr>
  </w:style>
  <w:style w:type="table" w:styleId="35">
    <w:name w:val="Table Grid"/>
    <w:basedOn w:val="3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6">
    <w:name w:val="Medium Grid 3 Accent 5"/>
    <w:basedOn w:val="34"/>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38">
    <w:name w:val="endnote reference"/>
    <w:basedOn w:val="37"/>
    <w:semiHidden/>
    <w:unhideWhenUsed/>
    <w:qFormat/>
    <w:uiPriority w:val="99"/>
    <w:rPr>
      <w:vertAlign w:val="superscript"/>
    </w:rPr>
  </w:style>
  <w:style w:type="character" w:styleId="39">
    <w:name w:val="Hyperlink"/>
    <w:unhideWhenUsed/>
    <w:qFormat/>
    <w:uiPriority w:val="99"/>
    <w:rPr>
      <w:color w:val="0000FF"/>
      <w:u w:val="single"/>
    </w:rPr>
  </w:style>
  <w:style w:type="character" w:styleId="40">
    <w:name w:val="annotation reference"/>
    <w:semiHidden/>
    <w:qFormat/>
    <w:uiPriority w:val="0"/>
    <w:rPr>
      <w:sz w:val="21"/>
      <w:szCs w:val="21"/>
    </w:rPr>
  </w:style>
  <w:style w:type="character" w:styleId="41">
    <w:name w:val="footnote reference"/>
    <w:semiHidden/>
    <w:qFormat/>
    <w:uiPriority w:val="0"/>
    <w:rPr>
      <w:vertAlign w:val="superscript"/>
    </w:rPr>
  </w:style>
  <w:style w:type="character" w:customStyle="1" w:styleId="42">
    <w:name w:val="页眉 字符"/>
    <w:link w:val="25"/>
    <w:qFormat/>
    <w:uiPriority w:val="99"/>
    <w:rPr>
      <w:sz w:val="18"/>
      <w:szCs w:val="18"/>
    </w:rPr>
  </w:style>
  <w:style w:type="character" w:customStyle="1" w:styleId="43">
    <w:name w:val="页脚 字符"/>
    <w:link w:val="24"/>
    <w:qFormat/>
    <w:uiPriority w:val="99"/>
    <w:rPr>
      <w:sz w:val="18"/>
      <w:szCs w:val="18"/>
    </w:rPr>
  </w:style>
  <w:style w:type="character" w:customStyle="1" w:styleId="44">
    <w:name w:val="批注框文本 字符"/>
    <w:link w:val="23"/>
    <w:semiHidden/>
    <w:qFormat/>
    <w:uiPriority w:val="99"/>
    <w:rPr>
      <w:sz w:val="18"/>
      <w:szCs w:val="18"/>
    </w:rPr>
  </w:style>
  <w:style w:type="paragraph" w:styleId="45">
    <w:name w:val="List Paragraph"/>
    <w:basedOn w:val="1"/>
    <w:qFormat/>
    <w:uiPriority w:val="34"/>
    <w:pPr>
      <w:ind w:firstLine="420" w:firstLineChars="200"/>
    </w:pPr>
  </w:style>
  <w:style w:type="character" w:customStyle="1" w:styleId="46">
    <w:name w:val="标题 1 字符"/>
    <w:link w:val="2"/>
    <w:qFormat/>
    <w:uiPriority w:val="9"/>
    <w:rPr>
      <w:b/>
      <w:bCs/>
      <w:kern w:val="44"/>
      <w:sz w:val="44"/>
      <w:szCs w:val="44"/>
      <w:lang w:val="zh-CN"/>
    </w:rPr>
  </w:style>
  <w:style w:type="paragraph" w:customStyle="1" w:styleId="4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8">
    <w:name w:val="签名 字符"/>
    <w:link w:val="26"/>
    <w:qFormat/>
    <w:uiPriority w:val="0"/>
    <w:rPr>
      <w:rFonts w:ascii="Arial" w:hAnsi="Arial"/>
      <w:sz w:val="16"/>
      <w:lang w:eastAsia="ja-JP"/>
    </w:rPr>
  </w:style>
  <w:style w:type="character" w:customStyle="1" w:styleId="49">
    <w:name w:val="副标题 字符"/>
    <w:link w:val="28"/>
    <w:qFormat/>
    <w:uiPriority w:val="11"/>
    <w:rPr>
      <w:rFonts w:ascii="Arial" w:hAnsi="Arial" w:cs="Arial"/>
      <w:sz w:val="24"/>
      <w:szCs w:val="24"/>
      <w:lang w:eastAsia="ja-JP"/>
    </w:rPr>
  </w:style>
  <w:style w:type="paragraph" w:customStyle="1" w:styleId="50">
    <w:name w:val="Help Text"/>
    <w:basedOn w:val="1"/>
    <w:qFormat/>
    <w:uiPriority w:val="0"/>
    <w:pPr>
      <w:widowControl/>
      <w:numPr>
        <w:ilvl w:val="0"/>
        <w:numId w:val="4"/>
      </w:numPr>
      <w:jc w:val="left"/>
    </w:pPr>
    <w:rPr>
      <w:rFonts w:ascii="Arial" w:hAnsi="Arial"/>
      <w:kern w:val="28"/>
      <w:sz w:val="16"/>
      <w:szCs w:val="20"/>
      <w:lang w:val="fr-FR" w:eastAsia="en-US"/>
    </w:rPr>
  </w:style>
  <w:style w:type="paragraph" w:customStyle="1" w:styleId="51">
    <w:name w:val="Signature Title Line"/>
    <w:basedOn w:val="26"/>
    <w:qFormat/>
    <w:uiPriority w:val="0"/>
    <w:pPr>
      <w:pBdr>
        <w:top w:val="none" w:color="auto" w:sz="0" w:space="0"/>
      </w:pBdr>
      <w:spacing w:before="0" w:after="60"/>
    </w:pPr>
    <w:rPr>
      <w:i/>
      <w:kern w:val="28"/>
      <w:lang w:eastAsia="en-US"/>
    </w:rPr>
  </w:style>
  <w:style w:type="character" w:customStyle="1" w:styleId="52">
    <w:name w:val="标题 2 字符"/>
    <w:link w:val="3"/>
    <w:qFormat/>
    <w:uiPriority w:val="0"/>
    <w:rPr>
      <w:rFonts w:ascii="黑体" w:hAnsi="黑体" w:eastAsia="黑体"/>
      <w:b/>
      <w:bCs/>
      <w:kern w:val="2"/>
      <w:sz w:val="32"/>
      <w:szCs w:val="32"/>
      <w:lang w:val="zh-CN"/>
    </w:rPr>
  </w:style>
  <w:style w:type="character" w:customStyle="1" w:styleId="53">
    <w:name w:val="正文文本 字符"/>
    <w:link w:val="17"/>
    <w:qFormat/>
    <w:uiPriority w:val="0"/>
    <w:rPr>
      <w:rFonts w:ascii="Arial" w:hAnsi="Arial" w:cs="Arial"/>
      <w:sz w:val="16"/>
      <w:szCs w:val="16"/>
      <w:lang w:eastAsia="ja-JP"/>
    </w:rPr>
  </w:style>
  <w:style w:type="paragraph" w:customStyle="1" w:styleId="54">
    <w:name w:val="Table Text"/>
    <w:basedOn w:val="1"/>
    <w:qFormat/>
    <w:uiPriority w:val="0"/>
    <w:pPr>
      <w:widowControl/>
      <w:spacing w:before="60" w:after="120"/>
      <w:jc w:val="left"/>
    </w:pPr>
    <w:rPr>
      <w:rFonts w:ascii="Arial" w:hAnsi="Arial"/>
      <w:kern w:val="28"/>
      <w:sz w:val="16"/>
      <w:szCs w:val="20"/>
      <w:lang w:eastAsia="en-US"/>
    </w:rPr>
  </w:style>
  <w:style w:type="paragraph" w:customStyle="1" w:styleId="55">
    <w:name w:val="Guidelines"/>
    <w:basedOn w:val="1"/>
    <w:qFormat/>
    <w:uiPriority w:val="0"/>
    <w:pPr>
      <w:widowControl/>
      <w:spacing w:after="120"/>
      <w:jc w:val="left"/>
    </w:pPr>
    <w:rPr>
      <w:rFonts w:ascii="Verdana" w:hAnsi="Verdana"/>
      <w:i/>
      <w:iCs/>
      <w:kern w:val="0"/>
      <w:sz w:val="20"/>
      <w:szCs w:val="20"/>
      <w:lang w:eastAsia="ja-JP"/>
    </w:rPr>
  </w:style>
  <w:style w:type="character" w:customStyle="1" w:styleId="56">
    <w:name w:val="标题 3 字符"/>
    <w:link w:val="4"/>
    <w:qFormat/>
    <w:uiPriority w:val="0"/>
    <w:rPr>
      <w:rFonts w:ascii="黑体" w:hAnsi="黑体" w:eastAsia="黑体"/>
      <w:b/>
      <w:bCs/>
      <w:kern w:val="2"/>
      <w:sz w:val="32"/>
      <w:szCs w:val="32"/>
      <w:lang w:val="zh-CN"/>
    </w:rPr>
  </w:style>
  <w:style w:type="character" w:customStyle="1" w:styleId="57">
    <w:name w:val="文档结构图 字符"/>
    <w:link w:val="14"/>
    <w:semiHidden/>
    <w:qFormat/>
    <w:uiPriority w:val="99"/>
    <w:rPr>
      <w:rFonts w:ascii="宋体"/>
      <w:kern w:val="2"/>
      <w:sz w:val="18"/>
      <w:szCs w:val="18"/>
    </w:rPr>
  </w:style>
  <w:style w:type="character" w:customStyle="1" w:styleId="58">
    <w:name w:val="标题 4 字符"/>
    <w:link w:val="5"/>
    <w:qFormat/>
    <w:uiPriority w:val="0"/>
    <w:rPr>
      <w:rFonts w:ascii="Cambria" w:hAnsi="Cambria"/>
      <w:b/>
      <w:bCs/>
      <w:kern w:val="2"/>
      <w:sz w:val="24"/>
      <w:szCs w:val="28"/>
      <w:lang w:val="zh-CN"/>
    </w:rPr>
  </w:style>
  <w:style w:type="paragraph" w:customStyle="1" w:styleId="59">
    <w:name w:val="字元"/>
    <w:basedOn w:val="1"/>
    <w:qFormat/>
    <w:uiPriority w:val="0"/>
    <w:pPr>
      <w:jc w:val="center"/>
    </w:pPr>
    <w:rPr>
      <w:rFonts w:ascii="Tahoma" w:hAnsi="Tahoma"/>
      <w:snapToGrid w:val="0"/>
      <w:kern w:val="0"/>
      <w:sz w:val="22"/>
    </w:rPr>
  </w:style>
  <w:style w:type="character" w:customStyle="1" w:styleId="60">
    <w:name w:val="正文文本缩进 字符"/>
    <w:link w:val="18"/>
    <w:semiHidden/>
    <w:qFormat/>
    <w:uiPriority w:val="99"/>
    <w:rPr>
      <w:kern w:val="2"/>
      <w:sz w:val="21"/>
      <w:szCs w:val="22"/>
    </w:rPr>
  </w:style>
  <w:style w:type="paragraph" w:customStyle="1" w:styleId="61">
    <w:name w:val="InfoBlue_内容说明"/>
    <w:basedOn w:val="1"/>
    <w:qFormat/>
    <w:uiPriority w:val="0"/>
    <w:pPr>
      <w:spacing w:line="360" w:lineRule="auto"/>
      <w:ind w:firstLine="200" w:firstLineChars="200"/>
    </w:pPr>
    <w:rPr>
      <w:rFonts w:ascii="Times New Roman" w:hAnsi="Times New Roman" w:cs="宋体"/>
      <w:i/>
      <w:iCs/>
      <w:color w:val="0000FF"/>
      <w:sz w:val="24"/>
      <w:szCs w:val="20"/>
    </w:rPr>
  </w:style>
  <w:style w:type="character" w:customStyle="1" w:styleId="62">
    <w:name w:val="标题 5 字符"/>
    <w:link w:val="6"/>
    <w:qFormat/>
    <w:uiPriority w:val="0"/>
    <w:rPr>
      <w:b/>
      <w:bCs/>
      <w:kern w:val="2"/>
      <w:sz w:val="24"/>
      <w:szCs w:val="28"/>
      <w:lang w:val="zh-CN"/>
    </w:rPr>
  </w:style>
  <w:style w:type="character" w:customStyle="1" w:styleId="63">
    <w:name w:val="批注文字 字符"/>
    <w:link w:val="15"/>
    <w:semiHidden/>
    <w:qFormat/>
    <w:uiPriority w:val="0"/>
    <w:rPr>
      <w:rFonts w:ascii="Times New Roman" w:hAnsi="Times New Roman"/>
      <w:kern w:val="2"/>
      <w:sz w:val="21"/>
      <w:szCs w:val="24"/>
    </w:rPr>
  </w:style>
  <w:style w:type="paragraph" w:customStyle="1" w:styleId="64">
    <w:name w:val="列出段落1"/>
    <w:basedOn w:val="1"/>
    <w:qFormat/>
    <w:uiPriority w:val="34"/>
    <w:pPr>
      <w:ind w:firstLine="420" w:firstLineChars="200"/>
    </w:pPr>
  </w:style>
  <w:style w:type="paragraph" w:customStyle="1" w:styleId="65">
    <w:name w:val="修订1"/>
    <w:hidden/>
    <w:semiHidden/>
    <w:qFormat/>
    <w:uiPriority w:val="99"/>
    <w:rPr>
      <w:rFonts w:ascii="Calibri" w:hAnsi="Calibri" w:eastAsia="宋体" w:cs="Times New Roman"/>
      <w:kern w:val="2"/>
      <w:sz w:val="21"/>
      <w:szCs w:val="22"/>
      <w:lang w:val="en-US" w:eastAsia="zh-CN" w:bidi="ar-SA"/>
    </w:rPr>
  </w:style>
  <w:style w:type="paragraph" w:customStyle="1" w:styleId="66">
    <w:name w:val="正文样式my + 首行缩进:  0.74 厘米"/>
    <w:basedOn w:val="67"/>
    <w:qFormat/>
    <w:uiPriority w:val="99"/>
    <w:pPr>
      <w:spacing w:line="360" w:lineRule="auto"/>
      <w:ind w:firstLine="420"/>
    </w:pPr>
    <w:rPr>
      <w:rFonts w:ascii="宋体" w:hAnsi="宋体" w:cs="宋体"/>
      <w:sz w:val="24"/>
      <w:szCs w:val="20"/>
    </w:rPr>
  </w:style>
  <w:style w:type="paragraph" w:customStyle="1" w:styleId="67">
    <w:name w:val="正文样式1"/>
    <w:basedOn w:val="1"/>
    <w:qFormat/>
    <w:uiPriority w:val="0"/>
    <w:pPr>
      <w:spacing w:line="360" w:lineRule="auto"/>
      <w:ind w:firstLine="480"/>
    </w:pPr>
    <w:rPr>
      <w:rFonts w:ascii="宋体" w:hAnsi="宋体"/>
      <w:sz w:val="24"/>
      <w:szCs w:val="24"/>
    </w:rPr>
  </w:style>
  <w:style w:type="paragraph" w:customStyle="1" w:styleId="68">
    <w:name w:val="列出段落2"/>
    <w:basedOn w:val="1"/>
    <w:link w:val="86"/>
    <w:qFormat/>
    <w:uiPriority w:val="0"/>
    <w:pPr>
      <w:widowControl/>
      <w:spacing w:line="360" w:lineRule="auto"/>
      <w:ind w:left="567" w:hanging="567" w:firstLineChars="200"/>
      <w:jc w:val="left"/>
    </w:pPr>
    <w:rPr>
      <w:rFonts w:ascii="Times New Roman" w:hAnsi="Times New Roman"/>
      <w:kern w:val="0"/>
      <w:szCs w:val="21"/>
    </w:rPr>
  </w:style>
  <w:style w:type="character" w:customStyle="1" w:styleId="69">
    <w:name w:val="apple-style-span"/>
    <w:qFormat/>
    <w:uiPriority w:val="0"/>
  </w:style>
  <w:style w:type="paragraph" w:customStyle="1" w:styleId="70">
    <w:name w:val="Table_cell_head"/>
    <w:basedOn w:val="1"/>
    <w:qFormat/>
    <w:uiPriority w:val="0"/>
    <w:pPr>
      <w:widowControl/>
      <w:spacing w:before="40" w:after="40"/>
      <w:jc w:val="center"/>
    </w:pPr>
    <w:rPr>
      <w:rFonts w:ascii="Times New Roman" w:hAnsi="Times New Roman"/>
      <w:b/>
      <w:kern w:val="0"/>
      <w:sz w:val="20"/>
      <w:szCs w:val="20"/>
      <w:lang w:eastAsia="en-GB"/>
    </w:rPr>
  </w:style>
  <w:style w:type="paragraph" w:customStyle="1" w:styleId="71">
    <w:name w:val="文档日期"/>
    <w:basedOn w:val="1"/>
    <w:link w:val="72"/>
    <w:qFormat/>
    <w:uiPriority w:val="0"/>
    <w:pPr>
      <w:spacing w:before="50" w:beforeLines="50" w:after="50" w:afterLines="50"/>
      <w:jc w:val="center"/>
    </w:pPr>
    <w:rPr>
      <w:sz w:val="24"/>
      <w:szCs w:val="32"/>
      <w:lang w:val="zh-CN"/>
    </w:rPr>
  </w:style>
  <w:style w:type="character" w:customStyle="1" w:styleId="72">
    <w:name w:val="文档日期 Char"/>
    <w:link w:val="71"/>
    <w:qFormat/>
    <w:uiPriority w:val="0"/>
    <w:rPr>
      <w:kern w:val="2"/>
      <w:sz w:val="24"/>
      <w:szCs w:val="32"/>
    </w:rPr>
  </w:style>
  <w:style w:type="character" w:customStyle="1" w:styleId="73">
    <w:name w:val="标题 字符"/>
    <w:link w:val="32"/>
    <w:qFormat/>
    <w:uiPriority w:val="0"/>
    <w:rPr>
      <w:rFonts w:eastAsia="黑体"/>
      <w:b/>
      <w:kern w:val="2"/>
      <w:sz w:val="52"/>
      <w:szCs w:val="52"/>
      <w14:shadow w14:blurRad="50800" w14:dist="38100" w14:dir="2700000" w14:sx="100000" w14:sy="100000" w14:kx="0" w14:ky="0" w14:algn="tl">
        <w14:srgbClr w14:val="000000">
          <w14:alpha w14:val="60000"/>
        </w14:srgbClr>
      </w14:shadow>
    </w:rPr>
  </w:style>
  <w:style w:type="paragraph" w:customStyle="1" w:styleId="7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5">
    <w:name w:val="IBM 正文"/>
    <w:basedOn w:val="1"/>
    <w:link w:val="76"/>
    <w:qFormat/>
    <w:uiPriority w:val="0"/>
    <w:pPr>
      <w:spacing w:before="240" w:after="240" w:line="360" w:lineRule="auto"/>
      <w:ind w:firstLine="200" w:firstLineChars="200"/>
    </w:pPr>
    <w:rPr>
      <w:rFonts w:ascii="Times New Roman" w:hAnsi="Times New Roman"/>
      <w:sz w:val="24"/>
      <w:szCs w:val="20"/>
      <w:lang w:val="zh-CN"/>
    </w:rPr>
  </w:style>
  <w:style w:type="character" w:customStyle="1" w:styleId="76">
    <w:name w:val="IBM 正文 Char"/>
    <w:link w:val="75"/>
    <w:qFormat/>
    <w:uiPriority w:val="0"/>
    <w:rPr>
      <w:rFonts w:ascii="Times New Roman" w:hAnsi="Times New Roman"/>
      <w:kern w:val="2"/>
      <w:sz w:val="24"/>
    </w:rPr>
  </w:style>
  <w:style w:type="paragraph" w:customStyle="1" w:styleId="77">
    <w:name w:val="Style Style Style Style Normal Indent正文（首行缩进两字）表正文正文非缩进特点段1正文不缩进标题4..."/>
    <w:basedOn w:val="1"/>
    <w:qFormat/>
    <w:uiPriority w:val="0"/>
    <w:pPr>
      <w:widowControl/>
      <w:spacing w:after="50" w:afterLines="50" w:line="300" w:lineRule="auto"/>
      <w:ind w:firstLine="567"/>
      <w:jc w:val="left"/>
    </w:pPr>
    <w:rPr>
      <w:rFonts w:ascii="Times New Roman" w:hAnsi="Times New Roman" w:cs="宋体"/>
      <w:spacing w:val="24"/>
      <w:sz w:val="24"/>
      <w:szCs w:val="20"/>
    </w:rPr>
  </w:style>
  <w:style w:type="character" w:customStyle="1" w:styleId="78">
    <w:name w:val="标题 6 字符"/>
    <w:basedOn w:val="37"/>
    <w:link w:val="7"/>
    <w:qFormat/>
    <w:uiPriority w:val="0"/>
    <w:rPr>
      <w:rFonts w:ascii="Arial" w:hAnsi="Arial"/>
      <w:b/>
      <w:bCs/>
      <w:i/>
      <w:iCs/>
      <w:sz w:val="32"/>
      <w:szCs w:val="32"/>
      <w:lang w:eastAsia="ja-JP"/>
    </w:rPr>
  </w:style>
  <w:style w:type="character" w:customStyle="1" w:styleId="79">
    <w:name w:val="标题 7 字符"/>
    <w:basedOn w:val="37"/>
    <w:link w:val="8"/>
    <w:qFormat/>
    <w:uiPriority w:val="0"/>
    <w:rPr>
      <w:rFonts w:ascii="Arial" w:hAnsi="Arial"/>
      <w:lang w:eastAsia="ja-JP"/>
    </w:rPr>
  </w:style>
  <w:style w:type="character" w:customStyle="1" w:styleId="80">
    <w:name w:val="标题 8 字符"/>
    <w:basedOn w:val="37"/>
    <w:link w:val="9"/>
    <w:qFormat/>
    <w:uiPriority w:val="0"/>
    <w:rPr>
      <w:rFonts w:ascii="Arial" w:hAnsi="Arial"/>
      <w:i/>
      <w:iCs/>
      <w:lang w:eastAsia="ja-JP"/>
    </w:rPr>
  </w:style>
  <w:style w:type="character" w:customStyle="1" w:styleId="81">
    <w:name w:val="标题 9 字符"/>
    <w:basedOn w:val="37"/>
    <w:link w:val="10"/>
    <w:qFormat/>
    <w:uiPriority w:val="0"/>
    <w:rPr>
      <w:rFonts w:ascii="Arial" w:hAnsi="Arial"/>
      <w:b/>
      <w:bCs/>
      <w:i/>
      <w:iCs/>
      <w:sz w:val="18"/>
      <w:szCs w:val="18"/>
      <w:lang w:eastAsia="ja-JP"/>
    </w:rPr>
  </w:style>
  <w:style w:type="paragraph" w:customStyle="1" w:styleId="82">
    <w:name w:val="项目列表2"/>
    <w:basedOn w:val="1"/>
    <w:link w:val="83"/>
    <w:qFormat/>
    <w:uiPriority w:val="0"/>
    <w:pPr>
      <w:numPr>
        <w:ilvl w:val="0"/>
        <w:numId w:val="5"/>
      </w:numPr>
      <w:tabs>
        <w:tab w:val="left" w:pos="1323"/>
      </w:tabs>
      <w:spacing w:line="360" w:lineRule="auto"/>
      <w:ind w:left="400" w:leftChars="400" w:hanging="480"/>
    </w:pPr>
    <w:rPr>
      <w:rFonts w:ascii="Times New Roman" w:hAnsi="Times New Roman" w:cs="宋体"/>
      <w:sz w:val="24"/>
      <w:szCs w:val="20"/>
    </w:rPr>
  </w:style>
  <w:style w:type="character" w:customStyle="1" w:styleId="83">
    <w:name w:val="项目列表2 Char"/>
    <w:basedOn w:val="37"/>
    <w:link w:val="82"/>
    <w:qFormat/>
    <w:uiPriority w:val="0"/>
    <w:rPr>
      <w:rFonts w:ascii="Times New Roman" w:hAnsi="Times New Roman" w:cs="宋体"/>
      <w:kern w:val="2"/>
      <w:sz w:val="24"/>
    </w:rPr>
  </w:style>
  <w:style w:type="paragraph" w:customStyle="1" w:styleId="84">
    <w:name w:val="项目列表1"/>
    <w:basedOn w:val="1"/>
    <w:link w:val="85"/>
    <w:qFormat/>
    <w:uiPriority w:val="0"/>
    <w:pPr>
      <w:numPr>
        <w:ilvl w:val="0"/>
        <w:numId w:val="6"/>
      </w:numPr>
      <w:tabs>
        <w:tab w:val="left" w:pos="903"/>
      </w:tabs>
      <w:spacing w:line="360" w:lineRule="auto"/>
    </w:pPr>
    <w:rPr>
      <w:rFonts w:ascii="Times New Roman" w:hAnsi="Times New Roman" w:cs="宋体"/>
      <w:sz w:val="24"/>
      <w:szCs w:val="20"/>
    </w:rPr>
  </w:style>
  <w:style w:type="character" w:customStyle="1" w:styleId="85">
    <w:name w:val="项目列表1 Char1"/>
    <w:basedOn w:val="37"/>
    <w:link w:val="84"/>
    <w:qFormat/>
    <w:uiPriority w:val="0"/>
    <w:rPr>
      <w:rFonts w:ascii="Times New Roman" w:hAnsi="Times New Roman" w:cs="宋体"/>
      <w:kern w:val="2"/>
      <w:sz w:val="24"/>
    </w:rPr>
  </w:style>
  <w:style w:type="character" w:customStyle="1" w:styleId="86">
    <w:name w:val="列出段落2 Char"/>
    <w:basedOn w:val="37"/>
    <w:link w:val="68"/>
    <w:qFormat/>
    <w:uiPriority w:val="0"/>
    <w:rPr>
      <w:rFonts w:ascii="Times New Roman" w:hAnsi="Times New Roman"/>
      <w:sz w:val="21"/>
      <w:szCs w:val="21"/>
    </w:rPr>
  </w:style>
  <w:style w:type="character" w:customStyle="1" w:styleId="87">
    <w:name w:val="纯文本 字符"/>
    <w:basedOn w:val="37"/>
    <w:link w:val="20"/>
    <w:qFormat/>
    <w:uiPriority w:val="0"/>
    <w:rPr>
      <w:rFonts w:ascii="宋体" w:hAnsi="Courier New"/>
      <w:kern w:val="2"/>
      <w:sz w:val="21"/>
    </w:rPr>
  </w:style>
  <w:style w:type="character" w:customStyle="1" w:styleId="88">
    <w:name w:val="结束语 字符"/>
    <w:basedOn w:val="37"/>
    <w:link w:val="16"/>
    <w:qFormat/>
    <w:uiPriority w:val="0"/>
    <w:rPr>
      <w:rFonts w:ascii="Arial" w:hAnsi="Arial"/>
      <w:lang w:eastAsia="ja-JP"/>
    </w:rPr>
  </w:style>
  <w:style w:type="character" w:customStyle="1" w:styleId="89">
    <w:name w:val="脚注文本 字符"/>
    <w:basedOn w:val="37"/>
    <w:link w:val="29"/>
    <w:semiHidden/>
    <w:qFormat/>
    <w:uiPriority w:val="99"/>
    <w:rPr>
      <w:rFonts w:ascii="Times New Roman" w:hAnsi="Times New Roman"/>
      <w:kern w:val="2"/>
      <w:sz w:val="18"/>
      <w:szCs w:val="18"/>
      <w:lang w:val="zh-CN" w:eastAsia="zh-CN"/>
    </w:rPr>
  </w:style>
  <w:style w:type="character" w:customStyle="1" w:styleId="90">
    <w:name w:val="尾注文本 字符"/>
    <w:basedOn w:val="37"/>
    <w:link w:val="22"/>
    <w:semiHidden/>
    <w:qFormat/>
    <w:uiPriority w:val="99"/>
    <w:rPr>
      <w:kern w:val="2"/>
      <w:sz w:val="21"/>
      <w:szCs w:val="22"/>
    </w:rPr>
  </w:style>
  <w:style w:type="paragraph" w:customStyle="1" w:styleId="91">
    <w:name w:val="文档作者"/>
    <w:basedOn w:val="1"/>
    <w:link w:val="92"/>
    <w:qFormat/>
    <w:uiPriority w:val="0"/>
    <w:pPr>
      <w:jc w:val="left"/>
    </w:pPr>
    <w:rPr>
      <w:rFonts w:ascii="Arial" w:hAnsi="Arial" w:eastAsia="黑体"/>
      <w:kern w:val="0"/>
      <w:sz w:val="32"/>
      <w:szCs w:val="32"/>
    </w:rPr>
  </w:style>
  <w:style w:type="character" w:customStyle="1" w:styleId="92">
    <w:name w:val="文档作者 Char"/>
    <w:link w:val="91"/>
    <w:qFormat/>
    <w:uiPriority w:val="0"/>
    <w:rPr>
      <w:rFonts w:ascii="Arial" w:hAnsi="Arial" w:eastAsia="黑体"/>
      <w:sz w:val="32"/>
      <w:szCs w:val="32"/>
    </w:rPr>
  </w:style>
  <w:style w:type="paragraph" w:customStyle="1" w:styleId="93">
    <w:name w:val="Text"/>
    <w:link w:val="94"/>
    <w:qFormat/>
    <w:uiPriority w:val="0"/>
    <w:pPr>
      <w:topLinePunct/>
      <w:spacing w:before="60" w:after="60" w:line="220" w:lineRule="exact"/>
      <w:ind w:firstLine="200" w:firstLineChars="200"/>
    </w:pPr>
    <w:rPr>
      <w:rFonts w:ascii="Palatino Linotype" w:hAnsi="Palatino Linotype" w:eastAsia="宋体" w:cs="Times New Roman"/>
      <w:color w:val="000000"/>
      <w:sz w:val="21"/>
      <w:szCs w:val="21"/>
      <w:lang w:val="en-US" w:eastAsia="en-US" w:bidi="ar-SA"/>
    </w:rPr>
  </w:style>
  <w:style w:type="character" w:customStyle="1" w:styleId="94">
    <w:name w:val="Text Char"/>
    <w:link w:val="93"/>
    <w:qFormat/>
    <w:uiPriority w:val="0"/>
    <w:rPr>
      <w:rFonts w:ascii="Palatino Linotype" w:hAnsi="Palatino Linotype"/>
      <w:color w:val="000000"/>
      <w:sz w:val="21"/>
      <w:szCs w:val="21"/>
      <w:lang w:eastAsia="en-US"/>
    </w:rPr>
  </w:style>
  <w:style w:type="paragraph" w:customStyle="1" w:styleId="95">
    <w:name w:val="Revision"/>
    <w:hidden/>
    <w:semiHidden/>
    <w:qFormat/>
    <w:uiPriority w:val="99"/>
    <w:rPr>
      <w:rFonts w:ascii="Calibri" w:hAnsi="Calibri" w:eastAsia="宋体" w:cs="Times New Roman"/>
      <w:kern w:val="2"/>
      <w:sz w:val="21"/>
      <w:szCs w:val="22"/>
      <w:lang w:val="en-US" w:eastAsia="zh-CN" w:bidi="ar-SA"/>
    </w:rPr>
  </w:style>
  <w:style w:type="character" w:customStyle="1" w:styleId="96">
    <w:name w:val="纯文本 字符1"/>
    <w:qFormat/>
    <w:uiPriority w:val="0"/>
    <w:rPr>
      <w:rFonts w:ascii="MingLiU" w:hAnsi="Courier New" w:eastAsia="MingLiU"/>
      <w:kern w:val="2"/>
      <w:sz w:val="24"/>
      <w:lang w:eastAsia="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4182381-E900-490B-8BA2-86125B514954}">
  <ds:schemaRefs/>
</ds:datastoreItem>
</file>

<file path=docProps/app.xml><?xml version="1.0" encoding="utf-8"?>
<Properties xmlns="http://schemas.openxmlformats.org/officeDocument/2006/extended-properties" xmlns:vt="http://schemas.openxmlformats.org/officeDocument/2006/docPropsVTypes">
  <Template>Normal.dotm</Template>
  <Company>xib</Company>
  <Pages>11</Pages>
  <Words>910</Words>
  <Characters>5192</Characters>
  <Lines>43</Lines>
  <Paragraphs>12</Paragraphs>
  <TotalTime>7</TotalTime>
  <ScaleCrop>false</ScaleCrop>
  <LinksUpToDate>false</LinksUpToDate>
  <CharactersWithSpaces>6090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2019-07-10T09:30:00Z</dcterms:created>
  <dc:creator>Henry Chang</dc:creator>
  <cp:lastModifiedBy>zhanyu</cp:lastModifiedBy>
  <cp:lastPrinted>2007-11-21T06:58:00Z</cp:lastPrinted>
  <dcterms:modified xsi:type="dcterms:W3CDTF">2024-03-22T10:13:46Z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0F5CFD166B2A4482B768DAEFF46F7AE5</vt:lpwstr>
  </property>
</Properties>
</file>