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E576">
      <w:pPr>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56E525B2">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170BD294">
      <w:pPr>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    厦门万翔网络商务有限公司现对以下项目编号为</w:t>
      </w:r>
      <w:r>
        <w:rPr>
          <w:rFonts w:ascii="仿宋_GB2312" w:hAnsi="宋体" w:eastAsia="仿宋_GB2312" w:cs="宋体"/>
          <w:kern w:val="0"/>
          <w:sz w:val="24"/>
          <w:u w:val="single"/>
        </w:rPr>
        <w:t>XM202</w:t>
      </w:r>
      <w:r>
        <w:rPr>
          <w:rFonts w:hint="eastAsia" w:ascii="仿宋_GB2312" w:hAnsi="宋体" w:eastAsia="仿宋_GB2312" w:cs="宋体"/>
          <w:kern w:val="0"/>
          <w:sz w:val="24"/>
          <w:u w:val="single"/>
          <w:lang w:val="en-US" w:eastAsia="zh-CN"/>
        </w:rPr>
        <w:t>4</w:t>
      </w:r>
      <w:r>
        <w:rPr>
          <w:rFonts w:ascii="仿宋_GB2312" w:hAnsi="宋体" w:eastAsia="仿宋_GB2312" w:cs="宋体"/>
          <w:kern w:val="0"/>
          <w:sz w:val="24"/>
          <w:u w:val="single"/>
        </w:rPr>
        <w:t>-ZYXJ</w:t>
      </w:r>
      <w:r>
        <w:rPr>
          <w:rFonts w:hint="eastAsia" w:ascii="仿宋_GB2312" w:hAnsi="宋体" w:eastAsia="仿宋_GB2312" w:cs="宋体"/>
          <w:kern w:val="0"/>
          <w:sz w:val="24"/>
          <w:u w:val="single"/>
          <w:lang w:val="en-US" w:eastAsia="zh-CN"/>
        </w:rPr>
        <w:t>1227</w:t>
      </w:r>
      <w:r>
        <w:rPr>
          <w:rFonts w:ascii="仿宋_GB2312" w:hAnsi="宋体" w:eastAsia="仿宋_GB2312" w:cs="宋体"/>
          <w:kern w:val="0"/>
          <w:sz w:val="24"/>
          <w:u w:val="single"/>
        </w:rPr>
        <w:t>01B</w:t>
      </w:r>
      <w:r>
        <w:rPr>
          <w:rFonts w:hint="eastAsia" w:ascii="仿宋_GB2312" w:hAnsi="宋体" w:eastAsia="仿宋_GB2312" w:cs="宋体"/>
          <w:kern w:val="0"/>
          <w:sz w:val="24"/>
          <w:u w:val="single"/>
          <w:lang w:val="en-US" w:eastAsia="zh-CN"/>
        </w:rPr>
        <w:t>奔富葡萄酒</w:t>
      </w:r>
      <w:r>
        <w:rPr>
          <w:rFonts w:hint="eastAsia" w:ascii="仿宋_GB2312" w:hAnsi="宋体" w:eastAsia="仿宋_GB2312" w:cs="宋体"/>
          <w:kern w:val="0"/>
          <w:sz w:val="24"/>
          <w:u w:val="single"/>
        </w:rPr>
        <w:t>年度采购</w:t>
      </w:r>
      <w:r>
        <w:rPr>
          <w:rFonts w:hint="eastAsia" w:ascii="仿宋_GB2312" w:hAnsi="宋体" w:eastAsia="仿宋_GB2312" w:cs="宋体"/>
          <w:kern w:val="0"/>
          <w:sz w:val="24"/>
        </w:rPr>
        <w:t>进行询价采购，现邀请贵单位就以下采购项目内容进行报价。</w:t>
      </w:r>
    </w:p>
    <w:tbl>
      <w:tblPr>
        <w:tblStyle w:val="5"/>
        <w:tblW w:w="492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49"/>
        <w:gridCol w:w="2682"/>
        <w:gridCol w:w="555"/>
        <w:gridCol w:w="2777"/>
        <w:gridCol w:w="1250"/>
      </w:tblGrid>
      <w:tr w14:paraId="387C3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141" w:type="pct"/>
            <w:shd w:val="clear" w:color="auto" w:fill="auto"/>
            <w:tcMar>
              <w:top w:w="0" w:type="dxa"/>
              <w:left w:w="108" w:type="dxa"/>
              <w:bottom w:w="0" w:type="dxa"/>
              <w:right w:w="108" w:type="dxa"/>
            </w:tcMar>
            <w:vAlign w:val="center"/>
          </w:tcPr>
          <w:p w14:paraId="7AED68B5">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1424" w:type="pct"/>
            <w:tcBorders>
              <w:right w:val="single" w:color="auto" w:sz="4" w:space="0"/>
            </w:tcBorders>
            <w:shd w:val="clear" w:color="auto" w:fill="auto"/>
            <w:tcMar>
              <w:top w:w="0" w:type="dxa"/>
              <w:left w:w="108" w:type="dxa"/>
              <w:bottom w:w="0" w:type="dxa"/>
              <w:right w:w="108" w:type="dxa"/>
            </w:tcMar>
            <w:vAlign w:val="center"/>
          </w:tcPr>
          <w:p w14:paraId="128C357A">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294" w:type="pct"/>
            <w:tcBorders>
              <w:left w:val="single" w:color="auto" w:sz="4" w:space="0"/>
            </w:tcBorders>
            <w:shd w:val="clear" w:color="auto" w:fill="auto"/>
            <w:vAlign w:val="center"/>
          </w:tcPr>
          <w:p w14:paraId="0FAFE593">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1475" w:type="pct"/>
            <w:tcBorders>
              <w:right w:val="single" w:color="auto" w:sz="4" w:space="0"/>
            </w:tcBorders>
            <w:vAlign w:val="center"/>
          </w:tcPr>
          <w:p w14:paraId="1F973B3F">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663" w:type="pct"/>
            <w:tcBorders>
              <w:left w:val="single" w:color="auto" w:sz="4" w:space="0"/>
            </w:tcBorders>
            <w:vAlign w:val="center"/>
          </w:tcPr>
          <w:p w14:paraId="65CCEA4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6D803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7" w:hRule="atLeast"/>
          <w:jc w:val="center"/>
        </w:trPr>
        <w:tc>
          <w:tcPr>
            <w:tcW w:w="1141" w:type="pct"/>
            <w:shd w:val="clear" w:color="auto" w:fill="auto"/>
            <w:tcMar>
              <w:top w:w="0" w:type="dxa"/>
              <w:left w:w="108" w:type="dxa"/>
              <w:bottom w:w="0" w:type="dxa"/>
              <w:right w:w="108" w:type="dxa"/>
            </w:tcMar>
            <w:vAlign w:val="center"/>
          </w:tcPr>
          <w:p w14:paraId="170206D6">
            <w:pPr>
              <w:widowControl/>
              <w:jc w:val="left"/>
              <w:rPr>
                <w:rFonts w:ascii="宋体" w:hAnsi="宋体" w:cs="宋体"/>
                <w:kern w:val="0"/>
                <w:sz w:val="24"/>
              </w:rPr>
            </w:pPr>
            <w:r>
              <w:rPr>
                <w:rFonts w:hint="eastAsia" w:ascii="仿宋_GB2312" w:hAnsi="宋体" w:eastAsia="仿宋_GB2312" w:cs="宋体"/>
                <w:kern w:val="0"/>
                <w:sz w:val="24"/>
                <w:lang w:val="en-US" w:eastAsia="zh-CN"/>
              </w:rPr>
              <w:t>奔富葡萄酒</w:t>
            </w:r>
            <w:r>
              <w:rPr>
                <w:rFonts w:hint="eastAsia" w:ascii="仿宋_GB2312" w:hAnsi="宋体" w:eastAsia="仿宋_GB2312" w:cs="宋体"/>
                <w:kern w:val="0"/>
                <w:sz w:val="24"/>
              </w:rPr>
              <w:t>一批</w:t>
            </w:r>
          </w:p>
        </w:tc>
        <w:tc>
          <w:tcPr>
            <w:tcW w:w="1424" w:type="pct"/>
            <w:tcBorders>
              <w:right w:val="single" w:color="auto" w:sz="4" w:space="0"/>
            </w:tcBorders>
            <w:shd w:val="clear" w:color="auto" w:fill="auto"/>
            <w:tcMar>
              <w:top w:w="0" w:type="dxa"/>
              <w:left w:w="108" w:type="dxa"/>
              <w:bottom w:w="0" w:type="dxa"/>
              <w:right w:w="108" w:type="dxa"/>
            </w:tcMar>
            <w:vAlign w:val="center"/>
          </w:tcPr>
          <w:p w14:paraId="2ABB4816">
            <w:pPr>
              <w:widowControl/>
              <w:jc w:val="left"/>
              <w:rPr>
                <w:rFonts w:ascii="仿宋_GB2312" w:hAnsi="宋体" w:eastAsia="仿宋_GB2312" w:cs="宋体"/>
                <w:kern w:val="0"/>
                <w:sz w:val="24"/>
              </w:rPr>
            </w:pPr>
            <w:r>
              <w:rPr>
                <w:rFonts w:hint="eastAsia" w:ascii="仿宋_GB2312" w:hAnsi="宋体" w:eastAsia="仿宋_GB2312" w:cs="宋体"/>
                <w:kern w:val="0"/>
                <w:sz w:val="24"/>
              </w:rPr>
              <w:t>具体详见附件1：</w:t>
            </w:r>
            <w:r>
              <w:rPr>
                <w:rFonts w:hint="eastAsia" w:ascii="宋体" w:hAnsi="宋体" w:cs="宋体"/>
                <w:b/>
                <w:bCs/>
                <w:color w:val="000000"/>
                <w:kern w:val="0"/>
                <w:sz w:val="22"/>
                <w:szCs w:val="22"/>
              </w:rPr>
              <w:t>202</w:t>
            </w:r>
            <w:r>
              <w:rPr>
                <w:rFonts w:hint="eastAsia" w:ascii="宋体" w:hAnsi="宋体" w:cs="宋体"/>
                <w:b/>
                <w:bCs/>
                <w:color w:val="000000"/>
                <w:kern w:val="0"/>
                <w:sz w:val="22"/>
                <w:szCs w:val="22"/>
                <w:lang w:val="en-US" w:eastAsia="zh-CN"/>
              </w:rPr>
              <w:t>5</w:t>
            </w:r>
            <w:r>
              <w:rPr>
                <w:rFonts w:hint="eastAsia" w:ascii="宋体" w:hAnsi="宋体" w:cs="宋体"/>
                <w:b/>
                <w:bCs/>
                <w:color w:val="000000"/>
                <w:kern w:val="0"/>
                <w:sz w:val="22"/>
                <w:szCs w:val="22"/>
              </w:rPr>
              <w:t>年度</w:t>
            </w:r>
            <w:r>
              <w:rPr>
                <w:rFonts w:hint="eastAsia" w:ascii="宋体" w:hAnsi="宋体" w:cs="宋体"/>
                <w:b/>
                <w:bCs/>
                <w:color w:val="000000"/>
                <w:kern w:val="0"/>
                <w:sz w:val="22"/>
                <w:szCs w:val="22"/>
                <w:lang w:val="en-US" w:eastAsia="zh-CN"/>
              </w:rPr>
              <w:t>奔富葡萄酒</w:t>
            </w:r>
            <w:r>
              <w:rPr>
                <w:rFonts w:hint="eastAsia" w:ascii="宋体" w:hAnsi="宋体" w:cs="宋体"/>
                <w:b/>
                <w:bCs/>
                <w:color w:val="000000"/>
                <w:kern w:val="0"/>
                <w:sz w:val="22"/>
                <w:szCs w:val="22"/>
              </w:rPr>
              <w:t>报价单</w:t>
            </w:r>
          </w:p>
        </w:tc>
        <w:tc>
          <w:tcPr>
            <w:tcW w:w="294" w:type="pct"/>
            <w:tcBorders>
              <w:left w:val="single" w:color="auto" w:sz="4" w:space="0"/>
            </w:tcBorders>
            <w:shd w:val="clear" w:color="auto" w:fill="auto"/>
            <w:vAlign w:val="center"/>
          </w:tcPr>
          <w:p w14:paraId="67BF4224">
            <w:pPr>
              <w:jc w:val="center"/>
              <w:rPr>
                <w:rFonts w:ascii="宋体" w:hAnsi="宋体" w:cs="宋体"/>
                <w:sz w:val="20"/>
                <w:szCs w:val="20"/>
              </w:rPr>
            </w:pPr>
            <w:r>
              <w:rPr>
                <w:rFonts w:hint="eastAsia" w:ascii="宋体" w:hAnsi="宋体" w:cs="宋体"/>
                <w:sz w:val="20"/>
                <w:szCs w:val="20"/>
              </w:rPr>
              <w:t>1</w:t>
            </w:r>
          </w:p>
        </w:tc>
        <w:tc>
          <w:tcPr>
            <w:tcW w:w="1475" w:type="pct"/>
            <w:tcBorders>
              <w:right w:val="single" w:color="auto" w:sz="4" w:space="0"/>
            </w:tcBorders>
            <w:vAlign w:val="center"/>
          </w:tcPr>
          <w:p w14:paraId="6C6B24CA">
            <w:pPr>
              <w:ind w:right="110"/>
              <w:jc w:val="center"/>
              <w:rPr>
                <w:color w:val="000000"/>
                <w:sz w:val="24"/>
              </w:rPr>
            </w:pPr>
            <w:r>
              <w:rPr>
                <w:rFonts w:hint="eastAsia" w:ascii="仿宋_GB2312" w:hAnsi="宋体" w:eastAsia="仿宋_GB2312" w:cs="宋体"/>
                <w:kern w:val="0"/>
                <w:sz w:val="24"/>
              </w:rPr>
              <w:t>具体详见附件1：</w:t>
            </w:r>
            <w:r>
              <w:rPr>
                <w:rFonts w:hint="eastAsia" w:ascii="宋体" w:hAnsi="宋体" w:cs="宋体"/>
                <w:b/>
                <w:bCs/>
                <w:color w:val="000000"/>
                <w:kern w:val="0"/>
                <w:sz w:val="22"/>
                <w:szCs w:val="22"/>
              </w:rPr>
              <w:t>202</w:t>
            </w:r>
            <w:r>
              <w:rPr>
                <w:rFonts w:hint="eastAsia" w:ascii="宋体" w:hAnsi="宋体" w:cs="宋体"/>
                <w:b/>
                <w:bCs/>
                <w:color w:val="000000"/>
                <w:kern w:val="0"/>
                <w:sz w:val="22"/>
                <w:szCs w:val="22"/>
                <w:lang w:val="en-US" w:eastAsia="zh-CN"/>
              </w:rPr>
              <w:t>5</w:t>
            </w:r>
            <w:r>
              <w:rPr>
                <w:rFonts w:hint="eastAsia" w:ascii="宋体" w:hAnsi="宋体" w:cs="宋体"/>
                <w:b/>
                <w:bCs/>
                <w:color w:val="000000"/>
                <w:kern w:val="0"/>
                <w:sz w:val="22"/>
                <w:szCs w:val="22"/>
              </w:rPr>
              <w:t>年度</w:t>
            </w:r>
            <w:r>
              <w:rPr>
                <w:rFonts w:hint="eastAsia" w:ascii="宋体" w:hAnsi="宋体" w:cs="宋体"/>
                <w:b/>
                <w:bCs/>
                <w:color w:val="000000"/>
                <w:kern w:val="0"/>
                <w:sz w:val="22"/>
                <w:szCs w:val="22"/>
                <w:lang w:val="en-US" w:eastAsia="zh-CN"/>
              </w:rPr>
              <w:t>奔富葡萄酒</w:t>
            </w:r>
            <w:r>
              <w:rPr>
                <w:rFonts w:hint="eastAsia" w:ascii="宋体" w:hAnsi="宋体" w:cs="宋体"/>
                <w:b/>
                <w:bCs/>
                <w:color w:val="000000"/>
                <w:kern w:val="0"/>
                <w:sz w:val="22"/>
                <w:szCs w:val="22"/>
              </w:rPr>
              <w:t>报价单限价</w:t>
            </w:r>
          </w:p>
        </w:tc>
        <w:tc>
          <w:tcPr>
            <w:tcW w:w="663" w:type="pct"/>
            <w:tcBorders>
              <w:left w:val="single" w:color="auto" w:sz="4" w:space="0"/>
            </w:tcBorders>
            <w:vAlign w:val="center"/>
          </w:tcPr>
          <w:p w14:paraId="4B94F9BD">
            <w:pPr>
              <w:ind w:right="110"/>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495950</w:t>
            </w:r>
          </w:p>
        </w:tc>
      </w:tr>
      <w:tr w14:paraId="0AAF7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2860" w:type="pct"/>
            <w:gridSpan w:val="3"/>
            <w:shd w:val="clear" w:color="auto" w:fill="auto"/>
            <w:tcMar>
              <w:top w:w="0" w:type="dxa"/>
              <w:left w:w="108" w:type="dxa"/>
              <w:bottom w:w="0" w:type="dxa"/>
              <w:right w:w="108" w:type="dxa"/>
            </w:tcMar>
            <w:vAlign w:val="center"/>
          </w:tcPr>
          <w:p w14:paraId="678E89D0">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合计</w:t>
            </w:r>
          </w:p>
        </w:tc>
        <w:tc>
          <w:tcPr>
            <w:tcW w:w="2139" w:type="pct"/>
            <w:gridSpan w:val="2"/>
            <w:vAlign w:val="center"/>
          </w:tcPr>
          <w:p w14:paraId="05BDCDC2">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rPr>
              <w:t>￥</w:t>
            </w:r>
            <w:r>
              <w:rPr>
                <w:rFonts w:hint="eastAsia" w:ascii="仿宋_GB2312" w:hAnsi="宋体" w:eastAsia="仿宋_GB2312" w:cs="宋体"/>
                <w:kern w:val="0"/>
                <w:sz w:val="24"/>
                <w:lang w:val="en-US" w:eastAsia="zh-CN"/>
              </w:rPr>
              <w:t>495950</w:t>
            </w:r>
          </w:p>
        </w:tc>
      </w:tr>
    </w:tbl>
    <w:p w14:paraId="3D06B357">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6BC1152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474E491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1、质量要求：供方提供的产品必须为原厂原装产品，并符合国家及行业相关标准。</w:t>
      </w:r>
    </w:p>
    <w:p w14:paraId="15A3CD18">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2、交货时间：合同签订后分批供货完成，具体以接到订单通知后的3天(日历日)内交货（供货期一年，具体以实际订单需求时间为准）。</w:t>
      </w:r>
    </w:p>
    <w:p w14:paraId="7A09E84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3、售后服务要求：按照厂家相关标准售后服务条款为准。</w:t>
      </w:r>
    </w:p>
    <w:p w14:paraId="6A55507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4、价格要求：</w:t>
      </w:r>
    </w:p>
    <w:p w14:paraId="504D3ED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lang w:val="en-US" w:eastAsia="zh-CN"/>
        </w:rPr>
        <w:t>495950</w:t>
      </w:r>
      <w:r>
        <w:rPr>
          <w:rFonts w:hint="eastAsia" w:ascii="仿宋_GB2312" w:hAnsi="宋体" w:eastAsia="仿宋_GB2312" w:cs="宋体"/>
          <w:b/>
          <w:kern w:val="0"/>
          <w:sz w:val="24"/>
        </w:rPr>
        <w:t>元；否则报价无效。（</w:t>
      </w:r>
      <w:r>
        <w:rPr>
          <w:rFonts w:hint="eastAsia" w:ascii="仿宋_GB2312" w:hAnsi="宋体" w:eastAsia="仿宋_GB2312" w:cs="宋体"/>
          <w:b/>
          <w:color w:val="FF0000"/>
          <w:kern w:val="0"/>
          <w:sz w:val="24"/>
        </w:rPr>
        <w:t>例如：序号1商品报价不得超</w:t>
      </w:r>
      <w:r>
        <w:rPr>
          <w:rFonts w:hint="eastAsia" w:ascii="仿宋_GB2312" w:hAnsi="宋体" w:eastAsia="仿宋_GB2312" w:cs="宋体"/>
          <w:b/>
          <w:color w:val="FF0000"/>
          <w:kern w:val="0"/>
          <w:sz w:val="24"/>
          <w:u w:val="single"/>
          <w:lang w:val="en-US" w:eastAsia="zh-CN"/>
        </w:rPr>
        <w:t>182</w:t>
      </w:r>
      <w:r>
        <w:rPr>
          <w:rFonts w:hint="eastAsia" w:ascii="仿宋_GB2312" w:hAnsi="宋体" w:eastAsia="仿宋_GB2312" w:cs="宋体"/>
          <w:b/>
          <w:color w:val="FF0000"/>
          <w:kern w:val="0"/>
          <w:sz w:val="24"/>
        </w:rPr>
        <w:t>元，其余商品同理</w:t>
      </w:r>
      <w:r>
        <w:rPr>
          <w:rFonts w:hint="eastAsia" w:ascii="仿宋_GB2312" w:hAnsi="宋体" w:eastAsia="仿宋_GB2312" w:cs="宋体"/>
          <w:b/>
          <w:kern w:val="0"/>
          <w:sz w:val="24"/>
        </w:rPr>
        <w:t>）。</w:t>
      </w:r>
    </w:p>
    <w:p w14:paraId="0188278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报价包括运费、包装费、售后服务费及其它一切相关费用</w:t>
      </w:r>
      <w:r>
        <w:rPr>
          <w:rFonts w:hint="eastAsia" w:ascii="仿宋_GB2312" w:hAnsi="宋体" w:eastAsia="仿宋_GB2312" w:cs="宋体"/>
          <w:kern w:val="0"/>
          <w:sz w:val="24"/>
        </w:rPr>
        <w:t xml:space="preserve">。 </w:t>
      </w:r>
    </w:p>
    <w:p w14:paraId="2A52BEF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3）所开具发票必须为一般纳税人增值税专用发票（13%税点）</w:t>
      </w:r>
      <w:r>
        <w:rPr>
          <w:rFonts w:hint="eastAsia" w:ascii="仿宋_GB2312" w:hAnsi="宋体" w:eastAsia="仿宋_GB2312" w:cs="宋体"/>
          <w:kern w:val="0"/>
          <w:sz w:val="24"/>
          <w:lang w:eastAsia="zh-CN"/>
        </w:rPr>
        <w:t>，</w:t>
      </w:r>
      <w:r>
        <w:rPr>
          <w:rFonts w:hint="eastAsia" w:ascii="仿宋_GB2312" w:hAnsi="宋体" w:eastAsia="仿宋_GB2312" w:cs="宋体"/>
          <w:color w:val="FF0000"/>
          <w:kern w:val="0"/>
          <w:sz w:val="24"/>
          <w:lang w:val="en-US" w:eastAsia="zh-CN"/>
        </w:rPr>
        <w:t>发票上的商品名称与实际供货商品一致</w:t>
      </w:r>
      <w:r>
        <w:rPr>
          <w:rFonts w:hint="eastAsia" w:ascii="仿宋_GB2312" w:hAnsi="宋体" w:eastAsia="仿宋_GB2312" w:cs="宋体"/>
          <w:kern w:val="0"/>
          <w:sz w:val="24"/>
          <w:lang w:val="en-US" w:eastAsia="zh-CN"/>
        </w:rPr>
        <w:t>；</w:t>
      </w:r>
      <w:r>
        <w:rPr>
          <w:rFonts w:hint="eastAsia" w:ascii="仿宋_GB2312" w:hAnsi="宋体" w:eastAsia="仿宋_GB2312" w:cs="宋体"/>
          <w:kern w:val="0"/>
          <w:sz w:val="24"/>
        </w:rPr>
        <w:t>购货单位名称：厦门万翔网络商务有限公司。</w:t>
      </w:r>
    </w:p>
    <w:p w14:paraId="521D361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w:t>
      </w:r>
      <w:r>
        <w:rPr>
          <w:rFonts w:hint="eastAsia" w:ascii="仿宋_GB2312" w:hAnsi="宋体" w:eastAsia="仿宋_GB2312" w:cs="宋体"/>
          <w:color w:val="FF0000"/>
          <w:kern w:val="0"/>
          <w:sz w:val="24"/>
        </w:rPr>
        <w:t>报价有效期一年</w:t>
      </w:r>
      <w:r>
        <w:rPr>
          <w:rFonts w:hint="eastAsia" w:ascii="仿宋_GB2312" w:hAnsi="宋体" w:eastAsia="仿宋_GB2312" w:cs="宋体"/>
          <w:kern w:val="0"/>
          <w:sz w:val="24"/>
        </w:rPr>
        <w:t>（自报价之日起计算）。</w:t>
      </w:r>
    </w:p>
    <w:p w14:paraId="02E1597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w:t>
      </w:r>
      <w:r>
        <w:rPr>
          <w:rFonts w:hint="eastAsia" w:ascii="仿宋_GB2312" w:hAnsi="宋体" w:eastAsia="仿宋_GB2312" w:cs="宋体"/>
          <w:b/>
          <w:kern w:val="0"/>
          <w:sz w:val="24"/>
        </w:rPr>
        <w:t>付款方式</w:t>
      </w:r>
    </w:p>
    <w:p w14:paraId="3806DB0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合同签订后根据供方开具的100%的一般纳税人增值税发票及验收合格后30个日历日内向供货方付清。</w:t>
      </w:r>
    </w:p>
    <w:p w14:paraId="73F3638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47BE5FE6">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1、202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年度</w:t>
      </w:r>
      <w:r>
        <w:rPr>
          <w:rFonts w:hint="eastAsia" w:ascii="仿宋_GB2312" w:hAnsi="宋体" w:eastAsia="仿宋_GB2312" w:cs="宋体"/>
          <w:kern w:val="0"/>
          <w:sz w:val="24"/>
          <w:lang w:val="en-US" w:eastAsia="zh-CN"/>
        </w:rPr>
        <w:t>奔富葡萄酒</w:t>
      </w:r>
      <w:r>
        <w:rPr>
          <w:rFonts w:hint="eastAsia" w:ascii="仿宋_GB2312" w:hAnsi="宋体" w:eastAsia="仿宋_GB2312" w:cs="宋体"/>
          <w:kern w:val="0"/>
          <w:sz w:val="24"/>
        </w:rPr>
        <w:t>报价单（须加盖单位公章），</w:t>
      </w:r>
      <w:r>
        <w:rPr>
          <w:rFonts w:hint="eastAsia" w:ascii="仿宋_GB2312" w:hAnsi="宋体" w:eastAsia="仿宋_GB2312" w:cs="宋体"/>
          <w:color w:val="FF0000"/>
          <w:kern w:val="0"/>
          <w:sz w:val="24"/>
        </w:rPr>
        <w:t>格式详见附件1</w:t>
      </w:r>
    </w:p>
    <w:p w14:paraId="0D75F86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2、营业执照（三证合一）复印件（须加盖单位公章）</w:t>
      </w:r>
    </w:p>
    <w:p w14:paraId="2271C12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3、食品流通许可证或食品经营者备案信息采集表复印件(须加盖单位公章)</w:t>
      </w:r>
    </w:p>
    <w:p w14:paraId="6D56A745">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4、售后服务承诺书（须加盖单位公章），</w:t>
      </w:r>
      <w:r>
        <w:rPr>
          <w:rFonts w:hint="eastAsia" w:ascii="仿宋_GB2312" w:hAnsi="宋体" w:eastAsia="仿宋_GB2312" w:cs="宋体"/>
          <w:color w:val="FF0000"/>
          <w:kern w:val="0"/>
          <w:sz w:val="24"/>
        </w:rPr>
        <w:t>具体详见附件2</w:t>
      </w:r>
    </w:p>
    <w:p w14:paraId="41DE3B11">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2DF2E97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kern w:val="0"/>
          <w:sz w:val="24"/>
        </w:rPr>
        <w:t>（一）报价方式：密封报价；</w:t>
      </w:r>
      <w:r>
        <w:rPr>
          <w:rFonts w:ascii="仿宋_GB2312" w:hAnsi="宋体" w:eastAsia="仿宋_GB2312" w:cs="宋体"/>
          <w:kern w:val="0"/>
          <w:sz w:val="24"/>
        </w:rPr>
        <w:t>一次报出，不得更改</w:t>
      </w:r>
      <w:r>
        <w:rPr>
          <w:rFonts w:hint="eastAsia" w:ascii="仿宋_GB2312" w:hAnsi="宋体" w:eastAsia="仿宋_GB2312" w:cs="宋体"/>
          <w:color w:val="000000"/>
          <w:kern w:val="0"/>
          <w:sz w:val="24"/>
        </w:rPr>
        <w:t>,填写后不得涂改挖补,否则报价无效，本项目密封报价</w:t>
      </w:r>
      <w:r>
        <w:rPr>
          <w:rFonts w:hint="eastAsia" w:ascii="仿宋_GB2312" w:hAnsi="宋体" w:eastAsia="仿宋_GB2312" w:cs="宋体"/>
          <w:b/>
          <w:color w:val="000000"/>
          <w:kern w:val="0"/>
          <w:sz w:val="24"/>
        </w:rPr>
        <w:t>以书面密封报价形式</w:t>
      </w:r>
      <w:r>
        <w:rPr>
          <w:rFonts w:hint="eastAsia" w:ascii="仿宋_GB2312" w:hAnsi="宋体" w:eastAsia="仿宋_GB2312" w:cs="宋体"/>
          <w:kern w:val="0"/>
          <w:sz w:val="24"/>
        </w:rPr>
        <w:t>。</w:t>
      </w:r>
    </w:p>
    <w:p w14:paraId="345DEF1B">
      <w:pPr>
        <w:spacing w:line="360" w:lineRule="auto"/>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书面密封报价</w:t>
      </w:r>
      <w:r>
        <w:rPr>
          <w:rFonts w:hint="eastAsia" w:ascii="仿宋_GB2312" w:hAnsi="宋体" w:eastAsia="仿宋_GB2312" w:cs="宋体"/>
          <w:color w:val="000000"/>
          <w:kern w:val="0"/>
          <w:sz w:val="24"/>
        </w:rPr>
        <w:t>。即报价人应当在报价截止时间前向我司送达书面密封的报价文件。</w:t>
      </w:r>
    </w:p>
    <w:p w14:paraId="45222CA2">
      <w:pPr>
        <w:spacing w:line="360" w:lineRule="auto"/>
        <w:rPr>
          <w:rFonts w:ascii="仿宋_GB2312" w:hAnsi="宋体" w:eastAsia="仿宋_GB2312" w:cs="宋体"/>
          <w:color w:val="000000"/>
          <w:kern w:val="0"/>
          <w:sz w:val="24"/>
        </w:rPr>
      </w:pPr>
      <w:r>
        <w:rPr>
          <w:rFonts w:hint="eastAsia" w:ascii="仿宋_GB2312" w:hAnsi="宋体" w:eastAsia="仿宋_GB2312" w:cs="宋体"/>
          <w:color w:val="000000"/>
          <w:kern w:val="0"/>
          <w:sz w:val="24"/>
        </w:rPr>
        <w:t>2、供应商报价须将报价单密封并加盖公章，外封皮注明“**公司，**项目报价表”。</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3、采购报价单必须在</w:t>
      </w:r>
      <w:r>
        <w:rPr>
          <w:rFonts w:hint="eastAsia" w:ascii="仿宋_GB2312" w:hAnsi="宋体" w:eastAsia="仿宋_GB2312" w:cs="宋体"/>
          <w:b/>
          <w:kern w:val="0"/>
          <w:sz w:val="24"/>
        </w:rPr>
        <w:t>202</w:t>
      </w:r>
      <w:r>
        <w:rPr>
          <w:rFonts w:hint="eastAsia" w:ascii="仿宋_GB2312" w:hAnsi="宋体" w:eastAsia="仿宋_GB2312" w:cs="宋体"/>
          <w:b/>
          <w:kern w:val="0"/>
          <w:sz w:val="24"/>
          <w:lang w:val="en-US" w:eastAsia="zh-CN"/>
        </w:rPr>
        <w:t>4</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12</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31</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二</w:t>
      </w:r>
      <w:r>
        <w:rPr>
          <w:rFonts w:hint="eastAsia" w:ascii="仿宋_GB2312" w:hAnsi="宋体" w:eastAsia="仿宋_GB2312" w:cs="宋体"/>
          <w:b/>
          <w:kern w:val="0"/>
          <w:sz w:val="24"/>
        </w:rPr>
        <w:t>）16：00点</w:t>
      </w:r>
      <w:r>
        <w:rPr>
          <w:rFonts w:hint="eastAsia" w:ascii="仿宋_GB2312" w:hAnsi="宋体" w:eastAsia="仿宋_GB2312" w:cs="宋体"/>
          <w:kern w:val="0"/>
          <w:sz w:val="24"/>
        </w:rPr>
        <w:t xml:space="preserve">（报价截止时间）之前邮寄或直接送达厦门万翔网络商务有限公司；报价开启时间为 </w:t>
      </w:r>
      <w:r>
        <w:rPr>
          <w:rFonts w:hint="eastAsia" w:ascii="仿宋_GB2312" w:hAnsi="宋体" w:eastAsia="仿宋_GB2312" w:cs="宋体"/>
          <w:b/>
          <w:kern w:val="0"/>
          <w:sz w:val="24"/>
        </w:rPr>
        <w:t>202</w:t>
      </w:r>
      <w:r>
        <w:rPr>
          <w:rFonts w:hint="eastAsia" w:ascii="仿宋_GB2312" w:hAnsi="宋体" w:eastAsia="仿宋_GB2312" w:cs="宋体"/>
          <w:b/>
          <w:kern w:val="0"/>
          <w:sz w:val="24"/>
          <w:lang w:val="en-US" w:eastAsia="zh-CN"/>
        </w:rPr>
        <w:t>4</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12</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31</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二</w:t>
      </w:r>
      <w:r>
        <w:rPr>
          <w:rFonts w:hint="eastAsia" w:ascii="仿宋_GB2312" w:hAnsi="宋体" w:eastAsia="仿宋_GB2312" w:cs="宋体"/>
          <w:b/>
          <w:kern w:val="0"/>
          <w:sz w:val="24"/>
        </w:rPr>
        <w:t>）16：00点</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报价供应商无需到场。</w:t>
      </w:r>
    </w:p>
    <w:p w14:paraId="143967C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65E92CE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u w:val="single"/>
        </w:rPr>
        <w:t xml:space="preserve"> 郭嘉卉 </w:t>
      </w:r>
      <w:r>
        <w:rPr>
          <w:rFonts w:hint="eastAsia" w:ascii="仿宋_GB2312" w:hAnsi="宋体" w:eastAsia="仿宋_GB2312" w:cs="宋体"/>
          <w:color w:val="000000"/>
          <w:kern w:val="0"/>
          <w:sz w:val="24"/>
        </w:rPr>
        <w:t>及其联系电话：0592-</w:t>
      </w:r>
      <w:r>
        <w:t xml:space="preserve"> </w:t>
      </w:r>
      <w:r>
        <w:rPr>
          <w:rFonts w:ascii="仿宋_GB2312" w:hAnsi="宋体" w:eastAsia="仿宋_GB2312" w:cs="宋体"/>
          <w:color w:val="000000"/>
          <w:kern w:val="0"/>
          <w:sz w:val="24"/>
        </w:rPr>
        <w:t>5769091</w:t>
      </w:r>
      <w:r>
        <w:rPr>
          <w:rFonts w:hint="eastAsia" w:ascii="仿宋_GB2312" w:hAnsi="宋体" w:eastAsia="仿宋_GB2312" w:cs="宋体"/>
          <w:color w:val="000000"/>
          <w:kern w:val="0"/>
          <w:sz w:val="24"/>
        </w:rPr>
        <w:t xml:space="preserve">      传真：0592-2235459</w:t>
      </w:r>
    </w:p>
    <w:p w14:paraId="76BDE29F">
      <w:pPr>
        <w:spacing w:line="360" w:lineRule="auto"/>
        <w:ind w:left="360" w:hanging="360" w:hangingChars="150"/>
        <w:rPr>
          <w:rFonts w:ascii="仿宋_GB2312" w:hAnsi="宋体" w:eastAsia="仿宋_GB2312" w:cs="宋体"/>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221AE6C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373F2D0A">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6193B21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7D7CD1A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13BD8CB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4、报价人有弄虚作假或串标、围标等违法行为的；</w:t>
      </w:r>
    </w:p>
    <w:p w14:paraId="4D5D4EE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5、报价文件不能实质性响应本询价函的。</w:t>
      </w:r>
    </w:p>
    <w:p w14:paraId="48486B0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w:t>
      </w:r>
      <w:r>
        <w:rPr>
          <w:rFonts w:ascii="仿宋_GB2312" w:hAnsi="宋体" w:eastAsia="仿宋_GB2312" w:cs="宋体"/>
          <w:kern w:val="0"/>
          <w:sz w:val="24"/>
        </w:rPr>
        <w:t>且</w:t>
      </w:r>
      <w:r>
        <w:rPr>
          <w:rFonts w:ascii="仿宋_GB2312" w:hAnsi="宋体" w:eastAsia="仿宋_GB2312" w:cs="宋体"/>
          <w:color w:val="FF0000"/>
          <w:kern w:val="0"/>
          <w:sz w:val="24"/>
        </w:rPr>
        <w:t>报价最低的原则</w:t>
      </w:r>
      <w:r>
        <w:rPr>
          <w:rFonts w:ascii="仿宋_GB2312" w:hAnsi="宋体" w:eastAsia="仿宋_GB2312" w:cs="宋体"/>
          <w:kern w:val="0"/>
          <w:sz w:val="24"/>
        </w:rPr>
        <w:t>确定成交供应商。</w:t>
      </w:r>
    </w:p>
    <w:p w14:paraId="1A6C2FB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（四）报价人一旦递交报价文件，即视为认可本询价方式及报价须知的所有内容。</w:t>
      </w:r>
      <w:r>
        <w:rPr>
          <w:rFonts w:hint="eastAsia" w:ascii="仿宋_GB2312" w:hAnsi="宋体" w:eastAsia="仿宋_GB2312" w:cs="宋体"/>
          <w:color w:val="FF0000"/>
          <w:kern w:val="0"/>
          <w:sz w:val="24"/>
        </w:rPr>
        <w:t>报价人承诺报价有效期为壹年</w:t>
      </w:r>
      <w:r>
        <w:rPr>
          <w:rFonts w:hint="eastAsia" w:ascii="仿宋_GB2312" w:hAnsi="宋体" w:eastAsia="仿宋_GB2312" w:cs="宋体"/>
          <w:kern w:val="0"/>
          <w:sz w:val="24"/>
        </w:rPr>
        <w:t>。</w:t>
      </w:r>
    </w:p>
    <w:p w14:paraId="03D90F0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（五）主要合同条款：</w:t>
      </w:r>
    </w:p>
    <w:p w14:paraId="4733F32E">
      <w:pPr>
        <w:pStyle w:val="10"/>
        <w:spacing w:line="360" w:lineRule="auto"/>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1、合同有效期：</w:t>
      </w:r>
      <w:r>
        <w:rPr>
          <w:rFonts w:hint="eastAsia" w:ascii="仿宋_GB2312" w:hAnsi="宋体" w:eastAsia="仿宋_GB2312" w:cs="宋体"/>
          <w:sz w:val="24"/>
          <w:szCs w:val="24"/>
        </w:rPr>
        <w:t>202</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月</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日至202</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12</w:t>
      </w:r>
      <w:r>
        <w:rPr>
          <w:rFonts w:hint="eastAsia" w:ascii="仿宋_GB2312" w:hAnsi="宋体" w:eastAsia="仿宋_GB2312" w:cs="宋体"/>
          <w:sz w:val="24"/>
          <w:szCs w:val="24"/>
        </w:rPr>
        <w:t>月</w:t>
      </w:r>
      <w:r>
        <w:rPr>
          <w:rFonts w:hint="eastAsia" w:ascii="仿宋_GB2312" w:hAnsi="宋体" w:eastAsia="仿宋_GB2312" w:cs="宋体"/>
          <w:sz w:val="24"/>
          <w:szCs w:val="24"/>
          <w:lang w:val="en-US" w:eastAsia="zh-CN"/>
        </w:rPr>
        <w:t>31</w:t>
      </w:r>
      <w:r>
        <w:rPr>
          <w:rFonts w:hint="eastAsia" w:ascii="仿宋_GB2312" w:hAnsi="宋体" w:eastAsia="仿宋_GB2312" w:cs="宋体"/>
          <w:sz w:val="24"/>
          <w:szCs w:val="24"/>
        </w:rPr>
        <w:t>日止。</w:t>
      </w:r>
    </w:p>
    <w:p w14:paraId="4F05CC71">
      <w:pPr>
        <w:pStyle w:val="10"/>
        <w:spacing w:line="360" w:lineRule="auto"/>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2、交货时间：</w:t>
      </w:r>
      <w:r>
        <w:rPr>
          <w:rFonts w:hint="eastAsia" w:ascii="仿宋_GB2312" w:hAnsi="宋体" w:eastAsia="仿宋_GB2312" w:cs="宋体"/>
          <w:sz w:val="24"/>
        </w:rPr>
        <w:t>合同签订后分批供货完成，</w:t>
      </w:r>
      <w:r>
        <w:rPr>
          <w:rFonts w:hint="eastAsia" w:ascii="仿宋_GB2312" w:hAnsi="宋体" w:eastAsia="仿宋_GB2312" w:cs="宋体"/>
          <w:sz w:val="24"/>
          <w:szCs w:val="24"/>
        </w:rPr>
        <w:t>实际每批次供货以我司下达正式采购单为准。</w:t>
      </w:r>
    </w:p>
    <w:p w14:paraId="59098946">
      <w:pPr>
        <w:pStyle w:val="10"/>
        <w:spacing w:line="360" w:lineRule="auto"/>
        <w:ind w:firstLine="482" w:firstLineChars="200"/>
        <w:rPr>
          <w:rFonts w:ascii="仿宋_GB2312" w:hAnsi="Calibri" w:eastAsia="仿宋_GB2312"/>
          <w:sz w:val="24"/>
        </w:rPr>
      </w:pPr>
      <w:r>
        <w:rPr>
          <w:rFonts w:hint="eastAsia" w:ascii="仿宋_GB2312" w:hAnsi="宋体" w:eastAsia="仿宋_GB2312" w:cs="宋体"/>
          <w:b/>
          <w:sz w:val="24"/>
          <w:szCs w:val="24"/>
        </w:rPr>
        <w:t>3、到货时效性：</w:t>
      </w:r>
      <w:r>
        <w:rPr>
          <w:rFonts w:hint="eastAsia" w:ascii="仿宋_GB2312" w:hAnsi="仿宋" w:eastAsia="仿宋_GB2312"/>
          <w:sz w:val="24"/>
        </w:rPr>
        <w:t>按照约定的时间、运输方式足量保质送达我司指定地点，除非订单另有要求，否则供应商应在确认订单之日起3天内交货</w:t>
      </w:r>
      <w:r>
        <w:rPr>
          <w:rFonts w:hint="eastAsia" w:ascii="仿宋_GB2312" w:hAnsi="Calibri" w:eastAsia="仿宋_GB2312"/>
          <w:sz w:val="24"/>
        </w:rPr>
        <w:t>。</w:t>
      </w:r>
    </w:p>
    <w:p w14:paraId="2BAD9C3D">
      <w:pPr>
        <w:spacing w:line="360" w:lineRule="auto"/>
        <w:ind w:firstLine="482" w:firstLineChars="200"/>
        <w:rPr>
          <w:rFonts w:ascii="仿宋_GB2312" w:hAnsi="宋体" w:eastAsia="仿宋_GB2312" w:cs="宋体"/>
          <w:kern w:val="0"/>
          <w:sz w:val="24"/>
        </w:rPr>
      </w:pPr>
      <w:r>
        <w:rPr>
          <w:rFonts w:hint="eastAsia" w:ascii="仿宋_GB2312" w:hAnsi="宋体" w:eastAsia="仿宋_GB2312" w:cs="宋体"/>
          <w:b/>
          <w:sz w:val="24"/>
        </w:rPr>
        <w:t>4、</w:t>
      </w:r>
      <w:r>
        <w:rPr>
          <w:rFonts w:hint="eastAsia" w:ascii="仿宋_GB2312" w:hAnsi="宋体" w:eastAsia="仿宋_GB2312"/>
          <w:b/>
          <w:sz w:val="24"/>
        </w:rPr>
        <w:t>滞销品处理：</w:t>
      </w:r>
      <w:r>
        <w:rPr>
          <w:rFonts w:hint="eastAsia" w:ascii="仿宋_GB2312" w:hAnsi="宋体" w:eastAsia="仿宋_GB2312" w:cs="宋体"/>
          <w:kern w:val="0"/>
          <w:sz w:val="24"/>
        </w:rPr>
        <w:t>指我司从供方购进的入库后，90天仍未销售出去的产品或保质期仅剩二分之一的产品，供方应提供无条件退换货政策。</w:t>
      </w:r>
    </w:p>
    <w:p w14:paraId="42A3E122">
      <w:pPr>
        <w:pStyle w:val="10"/>
        <w:spacing w:line="360" w:lineRule="auto"/>
        <w:ind w:firstLine="482" w:firstLineChars="200"/>
        <w:rPr>
          <w:rFonts w:ascii="仿宋_GB2312" w:hAnsi="宋体" w:eastAsia="仿宋_GB2312"/>
          <w:sz w:val="24"/>
          <w:szCs w:val="24"/>
        </w:rPr>
      </w:pPr>
      <w:r>
        <w:rPr>
          <w:rFonts w:hint="eastAsia" w:ascii="仿宋_GB2312" w:hAnsi="宋体" w:eastAsia="仿宋_GB2312"/>
          <w:b/>
          <w:sz w:val="24"/>
          <w:szCs w:val="24"/>
        </w:rPr>
        <w:t>5、质量保证：</w:t>
      </w:r>
      <w:r>
        <w:rPr>
          <w:rFonts w:hint="eastAsia" w:ascii="仿宋_GB2312" w:hAnsi="宋体" w:eastAsia="仿宋_GB2312"/>
          <w:sz w:val="24"/>
          <w:szCs w:val="24"/>
        </w:rPr>
        <w:t>供应商保证提供的产品（包括赠品），来源正当合法，均为新品</w:t>
      </w:r>
      <w:r>
        <w:rPr>
          <w:rFonts w:hint="eastAsia" w:ascii="仿宋_GB2312" w:hAnsi="宋体" w:eastAsia="仿宋_GB2312"/>
          <w:b/>
          <w:bCs/>
          <w:color w:val="FF0000"/>
          <w:sz w:val="24"/>
          <w:szCs w:val="24"/>
        </w:rPr>
        <w:t>正品行货</w:t>
      </w:r>
      <w:r>
        <w:rPr>
          <w:rFonts w:hint="eastAsia" w:ascii="仿宋_GB2312" w:hAnsi="宋体" w:eastAsia="仿宋_GB2312"/>
          <w:b/>
          <w:bCs/>
          <w:color w:val="FF0000"/>
          <w:sz w:val="24"/>
          <w:szCs w:val="24"/>
          <w:lang w:eastAsia="zh-CN"/>
        </w:rPr>
        <w:t>（</w:t>
      </w:r>
      <w:r>
        <w:rPr>
          <w:rFonts w:hint="eastAsia" w:ascii="仿宋_GB2312" w:hAnsi="宋体" w:eastAsia="仿宋_GB2312"/>
          <w:b/>
          <w:bCs/>
          <w:color w:val="FF0000"/>
          <w:sz w:val="24"/>
          <w:szCs w:val="24"/>
          <w:lang w:val="en-US" w:eastAsia="zh-CN"/>
        </w:rPr>
        <w:t>产品信息纯中文标签</w:t>
      </w:r>
      <w:r>
        <w:rPr>
          <w:rFonts w:hint="eastAsia" w:ascii="仿宋_GB2312" w:hAnsi="宋体" w:eastAsia="仿宋_GB2312"/>
          <w:b/>
          <w:bCs/>
          <w:color w:val="FF0000"/>
          <w:sz w:val="24"/>
          <w:szCs w:val="24"/>
          <w:lang w:eastAsia="zh-CN"/>
        </w:rPr>
        <w:t>）</w:t>
      </w:r>
      <w:r>
        <w:rPr>
          <w:rFonts w:hint="eastAsia" w:ascii="仿宋_GB2312" w:hAnsi="宋体" w:eastAsia="仿宋_GB2312"/>
          <w:sz w:val="24"/>
          <w:szCs w:val="24"/>
        </w:rPr>
        <w:t>，不会涉及到水货、</w:t>
      </w:r>
      <w:r>
        <w:rPr>
          <w:rFonts w:hint="eastAsia" w:ascii="仿宋_GB2312" w:hAnsi="宋体" w:eastAsia="仿宋_GB2312"/>
          <w:sz w:val="24"/>
          <w:szCs w:val="24"/>
          <w:lang w:val="en-US" w:eastAsia="zh-CN"/>
        </w:rPr>
        <w:t>平行货、</w:t>
      </w:r>
      <w:r>
        <w:rPr>
          <w:rFonts w:hint="eastAsia" w:ascii="仿宋_GB2312" w:hAnsi="宋体" w:eastAsia="仿宋_GB2312"/>
          <w:sz w:val="24"/>
          <w:szCs w:val="24"/>
        </w:rPr>
        <w:t>假货、旧货，不存在虚假宣传、不会侵犯第三方合法权益，否则我司有权单方面解除合同，并追究其相应责任。</w:t>
      </w:r>
    </w:p>
    <w:p w14:paraId="111A99D9">
      <w:pPr>
        <w:pStyle w:val="10"/>
        <w:spacing w:line="360" w:lineRule="auto"/>
        <w:ind w:firstLine="482" w:firstLineChars="200"/>
        <w:rPr>
          <w:rFonts w:ascii="仿宋_GB2312" w:hAnsi="宋体" w:eastAsia="仿宋_GB2312"/>
          <w:sz w:val="24"/>
          <w:szCs w:val="24"/>
        </w:rPr>
      </w:pPr>
      <w:r>
        <w:rPr>
          <w:rFonts w:hint="eastAsia" w:ascii="仿宋_GB2312" w:hAnsi="宋体" w:eastAsia="仿宋_GB2312"/>
          <w:b/>
          <w:sz w:val="24"/>
          <w:szCs w:val="24"/>
        </w:rPr>
        <w:t>6、货款结算：</w:t>
      </w:r>
      <w:r>
        <w:rPr>
          <w:rFonts w:hint="eastAsia" w:ascii="仿宋_GB2312" w:hAnsi="宋体" w:eastAsia="仿宋_GB2312"/>
          <w:sz w:val="24"/>
          <w:szCs w:val="24"/>
        </w:rPr>
        <w:t>账期内付款（账期指供应商产品进入我司指定仓库（以我司入库单为准）且开具增值税专用发票</w:t>
      </w:r>
      <w:r>
        <w:rPr>
          <w:rFonts w:hint="eastAsia" w:ascii="仿宋_GB2312" w:hAnsi="宋体" w:eastAsia="仿宋_GB2312"/>
          <w:b/>
          <w:bCs/>
          <w:color w:val="FF0000"/>
          <w:sz w:val="24"/>
          <w:szCs w:val="24"/>
        </w:rPr>
        <w:t>（与采购明细一致）</w:t>
      </w:r>
      <w:r>
        <w:rPr>
          <w:rFonts w:hint="eastAsia" w:ascii="仿宋_GB2312" w:hAnsi="宋体" w:eastAsia="仿宋_GB2312"/>
          <w:sz w:val="24"/>
          <w:szCs w:val="24"/>
        </w:rPr>
        <w:t>给我司到我司支付货款之间的时间），供应商给予我司的账期为30个日历日。</w:t>
      </w:r>
    </w:p>
    <w:p w14:paraId="6092A4BE">
      <w:pPr>
        <w:pStyle w:val="10"/>
        <w:spacing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7、价格保证：</w:t>
      </w:r>
    </w:p>
    <w:p w14:paraId="20A213D1">
      <w:pPr>
        <w:pStyle w:val="10"/>
        <w:spacing w:line="360" w:lineRule="auto"/>
        <w:ind w:firstLine="480" w:firstLineChars="200"/>
        <w:rPr>
          <w:rFonts w:ascii="仿宋_GB2312" w:hAnsi="宋体" w:eastAsia="仿宋_GB2312"/>
          <w:sz w:val="24"/>
          <w:szCs w:val="24"/>
        </w:rPr>
      </w:pPr>
      <w:r>
        <w:rPr>
          <w:rFonts w:hint="eastAsia" w:ascii="仿宋_GB2312" w:hAnsi="仿宋" w:eastAsia="仿宋_GB2312"/>
          <w:sz w:val="24"/>
          <w:szCs w:val="24"/>
        </w:rPr>
        <w:t>1）</w:t>
      </w:r>
      <w:r>
        <w:rPr>
          <w:rFonts w:hint="eastAsia" w:ascii="仿宋_GB2312" w:hAnsi="Calibri" w:eastAsia="仿宋_GB2312"/>
          <w:sz w:val="24"/>
          <w:szCs w:val="24"/>
        </w:rPr>
        <w:t>以主流网站（京东商城、天猫旗舰店）自营销售商品的最低价格为基准点（主流网站大型促销活动价格及促销单品不作为参考依据），在合同期内，供应商应保证给我司的供货价</w:t>
      </w:r>
      <w:r>
        <w:rPr>
          <w:rFonts w:hint="eastAsia" w:ascii="仿宋_GB2312" w:hAnsi="宋体" w:eastAsia="仿宋_GB2312"/>
          <w:sz w:val="24"/>
          <w:szCs w:val="24"/>
        </w:rPr>
        <w:t>不高于主流网站</w:t>
      </w:r>
      <w:r>
        <w:rPr>
          <w:rFonts w:hint="eastAsia" w:ascii="仿宋_GB2312" w:hAnsi="Calibri" w:eastAsia="仿宋_GB2312"/>
          <w:sz w:val="24"/>
          <w:szCs w:val="24"/>
        </w:rPr>
        <w:t>最低销售价。每月的1-5号对产品供货价进行比价，如发现主流网站非促销活动其间最低销售价格低于我司供货价，我司有权要求卖方于2个工作日内对相关产品供货价做出更改，逾期不做更改，可单方面解除合同。</w:t>
      </w:r>
    </w:p>
    <w:p w14:paraId="2BF9344B">
      <w:pPr>
        <w:pStyle w:val="1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供应商应根据我司要求随时提供加盖有效印章的产品价格单（内容包括：供货价格、当地市场零售成交价等）。如供应商的供货产品不在合同清单内的，供应商应提供完整的报价（内容包括：供货价格、当地市场零售成交价等），经过我司确认后按双方约定的价格进行供货并结算。</w:t>
      </w:r>
    </w:p>
    <w:p w14:paraId="64EC4209">
      <w:pPr>
        <w:spacing w:line="360" w:lineRule="auto"/>
        <w:ind w:firstLine="480" w:firstLineChars="200"/>
        <w:jc w:val="left"/>
        <w:rPr>
          <w:rFonts w:ascii="仿宋_GB2312" w:hAnsi="Calibri" w:eastAsia="仿宋_GB2312"/>
          <w:sz w:val="24"/>
        </w:rPr>
      </w:pPr>
      <w:r>
        <w:rPr>
          <w:rFonts w:hint="eastAsia" w:ascii="仿宋_GB2312" w:hAnsi="宋体" w:eastAsia="仿宋_GB2312"/>
          <w:sz w:val="24"/>
        </w:rPr>
        <w:t>3）</w:t>
      </w:r>
      <w:r>
        <w:rPr>
          <w:rFonts w:hint="eastAsia" w:ascii="仿宋_GB2312" w:hAnsi="Calibri" w:eastAsia="仿宋_GB2312"/>
          <w:sz w:val="24"/>
        </w:rPr>
        <w:t>合同期间内，合同清单产品供货价格严格按照合同定价执行并供货，供应商不得无故缺货断货（厂家相关文件证明停产、缺货除外），不得擅自提高合同清单内产品单价。</w:t>
      </w:r>
    </w:p>
    <w:p w14:paraId="2C4CD4C7">
      <w:pPr>
        <w:pStyle w:val="1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4）在202</w:t>
      </w:r>
      <w:r>
        <w:rPr>
          <w:rFonts w:hint="eastAsia" w:ascii="仿宋_GB2312" w:hAnsi="宋体" w:eastAsia="仿宋_GB2312"/>
          <w:sz w:val="24"/>
          <w:szCs w:val="24"/>
          <w:lang w:val="en-US" w:eastAsia="zh-CN"/>
        </w:rPr>
        <w:t>5</w:t>
      </w:r>
      <w:r>
        <w:rPr>
          <w:rFonts w:hint="eastAsia" w:ascii="仿宋_GB2312" w:hAnsi="宋体" w:eastAsia="仿宋_GB2312"/>
          <w:sz w:val="24"/>
          <w:szCs w:val="24"/>
        </w:rPr>
        <w:t>年度采购过程中，涉及单个项目采购及供应商促销活动时，我司对项目及供应商促销活动提报的产品，支持特价申请，不定期给予赠品支持。</w:t>
      </w:r>
    </w:p>
    <w:p w14:paraId="6D294825">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5）在双方存在同样销售对象时，供应商需与我司协商，优先支持我司对该对象进行销售。如供应商确需同时对同一销售对象进行报价时，需保证给该销售对象的报价不得低于我司报价。</w:t>
      </w:r>
    </w:p>
    <w:p w14:paraId="36950F7E">
      <w:pPr>
        <w:spacing w:line="360" w:lineRule="auto"/>
        <w:ind w:firstLine="480" w:firstLineChars="200"/>
        <w:rPr>
          <w:rFonts w:ascii="仿宋_GB2312" w:hAnsi="宋体" w:eastAsia="仿宋_GB2312"/>
          <w:kern w:val="0"/>
          <w:sz w:val="24"/>
        </w:rPr>
      </w:pPr>
    </w:p>
    <w:p w14:paraId="0345A54D">
      <w:pPr>
        <w:spacing w:line="360" w:lineRule="auto"/>
        <w:ind w:firstLine="6120" w:firstLineChars="2550"/>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57FE01C7">
      <w:pPr>
        <w:spacing w:line="360" w:lineRule="auto"/>
        <w:ind w:firstLine="7080" w:firstLineChars="2950"/>
        <w:rPr>
          <w:rFonts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12</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27</w:t>
      </w:r>
      <w:r>
        <w:rPr>
          <w:rFonts w:hint="eastAsia" w:ascii="仿宋_GB2312" w:hAnsi="宋体" w:eastAsia="仿宋_GB2312" w:cs="宋体"/>
          <w:kern w:val="0"/>
          <w:sz w:val="24"/>
        </w:rPr>
        <w:t>日</w:t>
      </w:r>
    </w:p>
    <w:p w14:paraId="0F2319FB">
      <w:pPr>
        <w:spacing w:line="380" w:lineRule="exact"/>
        <w:rPr>
          <w:b/>
        </w:rPr>
      </w:pPr>
    </w:p>
    <w:p w14:paraId="523B301C">
      <w:pPr>
        <w:spacing w:line="380" w:lineRule="exact"/>
        <w:rPr>
          <w:b/>
        </w:rPr>
      </w:pPr>
    </w:p>
    <w:p w14:paraId="58960131">
      <w:pPr>
        <w:spacing w:line="380" w:lineRule="exact"/>
        <w:rPr>
          <w:b/>
        </w:rPr>
      </w:pPr>
    </w:p>
    <w:p w14:paraId="16DC82CF">
      <w:pPr>
        <w:spacing w:line="380" w:lineRule="exact"/>
        <w:rPr>
          <w:b/>
        </w:rPr>
      </w:pPr>
    </w:p>
    <w:p w14:paraId="76B5AC99">
      <w:pPr>
        <w:spacing w:line="380" w:lineRule="exact"/>
        <w:rPr>
          <w:b/>
        </w:rPr>
      </w:pPr>
    </w:p>
    <w:p w14:paraId="5A7DEC78">
      <w:pPr>
        <w:spacing w:line="380" w:lineRule="exact"/>
        <w:rPr>
          <w:b/>
        </w:rPr>
      </w:pPr>
    </w:p>
    <w:p w14:paraId="3D1106E2">
      <w:pPr>
        <w:spacing w:line="380" w:lineRule="exact"/>
        <w:rPr>
          <w:b/>
        </w:rPr>
      </w:pPr>
    </w:p>
    <w:p w14:paraId="3B7F48B4">
      <w:pPr>
        <w:spacing w:line="380" w:lineRule="exact"/>
        <w:rPr>
          <w:b/>
        </w:rPr>
      </w:pPr>
    </w:p>
    <w:p w14:paraId="55241B7B">
      <w:pPr>
        <w:spacing w:line="380" w:lineRule="exact"/>
        <w:rPr>
          <w:b/>
        </w:rPr>
      </w:pPr>
    </w:p>
    <w:p w14:paraId="6085EE2D">
      <w:pPr>
        <w:spacing w:line="380" w:lineRule="exact"/>
        <w:rPr>
          <w:b/>
        </w:rPr>
      </w:pPr>
    </w:p>
    <w:p w14:paraId="298CF219">
      <w:pPr>
        <w:spacing w:line="380" w:lineRule="exact"/>
        <w:rPr>
          <w:b/>
        </w:rPr>
      </w:pPr>
    </w:p>
    <w:p w14:paraId="03AB322C">
      <w:pPr>
        <w:spacing w:line="380" w:lineRule="exact"/>
        <w:rPr>
          <w:b/>
        </w:rPr>
      </w:pPr>
    </w:p>
    <w:p w14:paraId="1A6F801D">
      <w:pPr>
        <w:spacing w:line="380" w:lineRule="exact"/>
        <w:rPr>
          <w:b/>
        </w:rPr>
      </w:pPr>
    </w:p>
    <w:p w14:paraId="099B574F">
      <w:pPr>
        <w:spacing w:line="380" w:lineRule="exact"/>
        <w:rPr>
          <w:b/>
        </w:rPr>
      </w:pPr>
    </w:p>
    <w:p w14:paraId="47D3CBFC">
      <w:pPr>
        <w:spacing w:line="380" w:lineRule="exact"/>
        <w:rPr>
          <w:b/>
        </w:rPr>
      </w:pPr>
    </w:p>
    <w:p w14:paraId="4EADD096">
      <w:pPr>
        <w:spacing w:line="380" w:lineRule="exact"/>
        <w:rPr>
          <w:b/>
        </w:rPr>
      </w:pPr>
    </w:p>
    <w:p w14:paraId="75372A82">
      <w:pPr>
        <w:spacing w:line="380" w:lineRule="exact"/>
        <w:rPr>
          <w:b/>
        </w:rPr>
      </w:pPr>
      <w:r>
        <w:rPr>
          <w:rFonts w:hint="eastAsia"/>
          <w:b/>
        </w:rPr>
        <w:t>附件1：</w:t>
      </w:r>
    </w:p>
    <w:tbl>
      <w:tblPr>
        <w:tblStyle w:val="5"/>
        <w:tblW w:w="10252" w:type="dxa"/>
        <w:jc w:val="center"/>
        <w:tblLayout w:type="fixed"/>
        <w:tblCellMar>
          <w:top w:w="0" w:type="dxa"/>
          <w:left w:w="108" w:type="dxa"/>
          <w:bottom w:w="0" w:type="dxa"/>
          <w:right w:w="108" w:type="dxa"/>
        </w:tblCellMar>
      </w:tblPr>
      <w:tblGrid>
        <w:gridCol w:w="720"/>
        <w:gridCol w:w="4993"/>
        <w:gridCol w:w="850"/>
        <w:gridCol w:w="709"/>
        <w:gridCol w:w="1044"/>
        <w:gridCol w:w="818"/>
        <w:gridCol w:w="1118"/>
      </w:tblGrid>
      <w:tr w14:paraId="07BE70A7">
        <w:tblPrEx>
          <w:tblCellMar>
            <w:top w:w="0" w:type="dxa"/>
            <w:left w:w="108" w:type="dxa"/>
            <w:bottom w:w="0" w:type="dxa"/>
            <w:right w:w="108" w:type="dxa"/>
          </w:tblCellMar>
        </w:tblPrEx>
        <w:trPr>
          <w:trHeight w:val="525" w:hRule="atLeast"/>
          <w:jc w:val="center"/>
        </w:trPr>
        <w:tc>
          <w:tcPr>
            <w:tcW w:w="10252"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42A5D93E">
            <w:pPr>
              <w:widowControl/>
              <w:jc w:val="center"/>
              <w:rPr>
                <w:rFonts w:ascii="宋体" w:hAnsi="宋体" w:cs="宋体"/>
                <w:b/>
                <w:kern w:val="0"/>
                <w:sz w:val="24"/>
              </w:rPr>
            </w:pPr>
            <w:r>
              <w:rPr>
                <w:rFonts w:hint="eastAsia" w:asciiTheme="minorEastAsia" w:hAnsiTheme="minorEastAsia" w:eastAsiaTheme="minorEastAsia" w:cstheme="minorEastAsia"/>
                <w:b/>
                <w:kern w:val="0"/>
                <w:sz w:val="24"/>
                <w:szCs w:val="24"/>
              </w:rPr>
              <w:t>202</w:t>
            </w:r>
            <w:r>
              <w:rPr>
                <w:rFonts w:hint="eastAsia" w:asciiTheme="minorEastAsia" w:hAnsiTheme="minorEastAsia" w:eastAsiaTheme="minorEastAsia" w:cstheme="minorEastAsia"/>
                <w:b/>
                <w:kern w:val="0"/>
                <w:sz w:val="24"/>
                <w:szCs w:val="24"/>
                <w:lang w:val="en-US" w:eastAsia="zh-CN"/>
              </w:rPr>
              <w:t>5</w:t>
            </w:r>
            <w:r>
              <w:rPr>
                <w:rFonts w:hint="eastAsia" w:asciiTheme="minorEastAsia" w:hAnsiTheme="minorEastAsia" w:eastAsiaTheme="minorEastAsia" w:cstheme="minorEastAsia"/>
                <w:b/>
                <w:kern w:val="0"/>
                <w:sz w:val="24"/>
                <w:szCs w:val="24"/>
              </w:rPr>
              <w:t>年度</w:t>
            </w:r>
            <w:r>
              <w:rPr>
                <w:rFonts w:hint="eastAsia" w:asciiTheme="minorEastAsia" w:hAnsiTheme="minorEastAsia" w:eastAsiaTheme="minorEastAsia" w:cstheme="minorEastAsia"/>
                <w:b/>
                <w:kern w:val="0"/>
                <w:sz w:val="24"/>
                <w:szCs w:val="24"/>
                <w:lang w:val="en-US" w:eastAsia="zh-CN"/>
              </w:rPr>
              <w:t>奔富葡萄酒</w:t>
            </w:r>
            <w:r>
              <w:rPr>
                <w:rFonts w:hint="eastAsia" w:asciiTheme="minorEastAsia" w:hAnsiTheme="minorEastAsia" w:eastAsiaTheme="minorEastAsia" w:cstheme="minorEastAsia"/>
                <w:b/>
                <w:kern w:val="0"/>
                <w:sz w:val="24"/>
                <w:szCs w:val="24"/>
              </w:rPr>
              <w:t>报价单</w:t>
            </w:r>
          </w:p>
        </w:tc>
      </w:tr>
      <w:tr w14:paraId="009A8C17">
        <w:tblPrEx>
          <w:tblCellMar>
            <w:top w:w="0" w:type="dxa"/>
            <w:left w:w="108" w:type="dxa"/>
            <w:bottom w:w="0" w:type="dxa"/>
            <w:right w:w="108" w:type="dxa"/>
          </w:tblCellMar>
        </w:tblPrEx>
        <w:trPr>
          <w:trHeight w:val="771"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762BD0D2">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4993" w:type="dxa"/>
            <w:tcBorders>
              <w:top w:val="nil"/>
              <w:left w:val="nil"/>
              <w:bottom w:val="single" w:color="auto" w:sz="4" w:space="0"/>
              <w:right w:val="single" w:color="auto" w:sz="4" w:space="0"/>
            </w:tcBorders>
            <w:shd w:val="clear" w:color="auto" w:fill="auto"/>
            <w:noWrap/>
            <w:vAlign w:val="center"/>
          </w:tcPr>
          <w:p w14:paraId="265FD6DB">
            <w:pPr>
              <w:widowControl/>
              <w:jc w:val="left"/>
              <w:rPr>
                <w:rFonts w:ascii="宋体" w:hAnsi="宋体" w:cs="宋体"/>
                <w:color w:val="000000"/>
                <w:kern w:val="0"/>
                <w:sz w:val="22"/>
                <w:szCs w:val="22"/>
              </w:rPr>
            </w:pPr>
            <w:r>
              <w:rPr>
                <w:rFonts w:hint="eastAsia" w:ascii="宋体" w:hAnsi="宋体" w:cs="宋体"/>
                <w:color w:val="000000"/>
                <w:kern w:val="0"/>
                <w:sz w:val="22"/>
                <w:szCs w:val="22"/>
              </w:rPr>
              <w:t>商品名称</w:t>
            </w:r>
          </w:p>
        </w:tc>
        <w:tc>
          <w:tcPr>
            <w:tcW w:w="850" w:type="dxa"/>
            <w:tcBorders>
              <w:top w:val="nil"/>
              <w:left w:val="nil"/>
              <w:bottom w:val="single" w:color="auto" w:sz="4" w:space="0"/>
              <w:right w:val="single" w:color="auto" w:sz="4" w:space="0"/>
            </w:tcBorders>
            <w:shd w:val="clear" w:color="auto" w:fill="auto"/>
            <w:vAlign w:val="center"/>
          </w:tcPr>
          <w:p w14:paraId="4DD23528">
            <w:pPr>
              <w:widowControl/>
              <w:jc w:val="center"/>
              <w:rPr>
                <w:rFonts w:ascii="宋体" w:hAnsi="宋体" w:cs="宋体"/>
                <w:color w:val="000000"/>
                <w:kern w:val="0"/>
                <w:sz w:val="22"/>
                <w:szCs w:val="22"/>
              </w:rPr>
            </w:pPr>
            <w:r>
              <w:rPr>
                <w:rFonts w:hint="eastAsia" w:ascii="宋体" w:hAnsi="宋体" w:cs="宋体"/>
                <w:color w:val="000000"/>
                <w:kern w:val="0"/>
                <w:sz w:val="22"/>
                <w:szCs w:val="22"/>
              </w:rPr>
              <w:t>限价（元）</w:t>
            </w:r>
          </w:p>
        </w:tc>
        <w:tc>
          <w:tcPr>
            <w:tcW w:w="709" w:type="dxa"/>
            <w:tcBorders>
              <w:top w:val="nil"/>
              <w:left w:val="nil"/>
              <w:bottom w:val="single" w:color="auto" w:sz="4" w:space="0"/>
              <w:right w:val="single" w:color="auto" w:sz="4" w:space="0"/>
            </w:tcBorders>
            <w:shd w:val="clear" w:color="auto" w:fill="auto"/>
            <w:noWrap/>
            <w:vAlign w:val="center"/>
          </w:tcPr>
          <w:p w14:paraId="1DE53EBC">
            <w:pPr>
              <w:widowControl/>
              <w:jc w:val="center"/>
              <w:rPr>
                <w:rFonts w:ascii="宋体" w:hAnsi="宋体" w:cs="宋体"/>
                <w:color w:val="000000"/>
                <w:kern w:val="0"/>
                <w:sz w:val="22"/>
                <w:szCs w:val="22"/>
              </w:rPr>
            </w:pPr>
            <w:r>
              <w:rPr>
                <w:rFonts w:hint="eastAsia" w:ascii="宋体" w:hAnsi="宋体" w:cs="宋体"/>
                <w:color w:val="000000"/>
                <w:kern w:val="0"/>
                <w:sz w:val="22"/>
                <w:szCs w:val="22"/>
              </w:rPr>
              <w:t>预计 数量</w:t>
            </w:r>
          </w:p>
        </w:tc>
        <w:tc>
          <w:tcPr>
            <w:tcW w:w="1044" w:type="dxa"/>
            <w:tcBorders>
              <w:top w:val="nil"/>
              <w:left w:val="nil"/>
              <w:bottom w:val="single" w:color="auto" w:sz="4" w:space="0"/>
              <w:right w:val="single" w:color="auto" w:sz="4" w:space="0"/>
            </w:tcBorders>
            <w:shd w:val="clear" w:color="auto" w:fill="auto"/>
            <w:vAlign w:val="center"/>
          </w:tcPr>
          <w:p w14:paraId="62651DA0">
            <w:pPr>
              <w:widowControl/>
              <w:jc w:val="center"/>
              <w:rPr>
                <w:rFonts w:ascii="宋体" w:hAnsi="宋体" w:cs="宋体"/>
                <w:color w:val="000000"/>
                <w:kern w:val="0"/>
                <w:sz w:val="22"/>
                <w:szCs w:val="22"/>
              </w:rPr>
            </w:pPr>
            <w:r>
              <w:rPr>
                <w:rFonts w:hint="eastAsia" w:ascii="宋体" w:hAnsi="宋体" w:cs="宋体"/>
                <w:color w:val="000000"/>
                <w:kern w:val="0"/>
                <w:sz w:val="22"/>
                <w:szCs w:val="22"/>
              </w:rPr>
              <w:t>限价合计（元）</w:t>
            </w:r>
          </w:p>
        </w:tc>
        <w:tc>
          <w:tcPr>
            <w:tcW w:w="818" w:type="dxa"/>
            <w:tcBorders>
              <w:top w:val="nil"/>
              <w:left w:val="nil"/>
              <w:bottom w:val="single" w:color="auto" w:sz="4" w:space="0"/>
              <w:right w:val="single" w:color="auto" w:sz="4" w:space="0"/>
            </w:tcBorders>
            <w:shd w:val="clear" w:color="auto" w:fill="auto"/>
            <w:vAlign w:val="center"/>
          </w:tcPr>
          <w:p w14:paraId="5F7B0B96">
            <w:pPr>
              <w:widowControl/>
              <w:jc w:val="center"/>
              <w:rPr>
                <w:rFonts w:ascii="宋体" w:hAnsi="宋体" w:cs="宋体"/>
                <w:color w:val="000000"/>
                <w:kern w:val="0"/>
                <w:sz w:val="22"/>
                <w:szCs w:val="22"/>
              </w:rPr>
            </w:pPr>
            <w:r>
              <w:rPr>
                <w:rFonts w:hint="eastAsia" w:ascii="宋体" w:hAnsi="宋体" w:cs="宋体"/>
                <w:color w:val="000000"/>
                <w:kern w:val="0"/>
                <w:sz w:val="22"/>
                <w:szCs w:val="22"/>
              </w:rPr>
              <w:t>报价（元）</w:t>
            </w:r>
          </w:p>
        </w:tc>
        <w:tc>
          <w:tcPr>
            <w:tcW w:w="1118" w:type="dxa"/>
            <w:tcBorders>
              <w:top w:val="nil"/>
              <w:left w:val="nil"/>
              <w:bottom w:val="single" w:color="auto" w:sz="4" w:space="0"/>
              <w:right w:val="single" w:color="auto" w:sz="4" w:space="0"/>
            </w:tcBorders>
            <w:shd w:val="clear" w:color="auto" w:fill="auto"/>
            <w:vAlign w:val="center"/>
          </w:tcPr>
          <w:p w14:paraId="4D613876">
            <w:pPr>
              <w:widowControl/>
              <w:jc w:val="center"/>
              <w:rPr>
                <w:rFonts w:ascii="宋体" w:hAnsi="宋体" w:cs="宋体"/>
                <w:color w:val="000000"/>
                <w:kern w:val="0"/>
                <w:sz w:val="22"/>
                <w:szCs w:val="22"/>
              </w:rPr>
            </w:pPr>
            <w:r>
              <w:rPr>
                <w:rFonts w:hint="eastAsia" w:ascii="宋体" w:hAnsi="宋体" w:cs="宋体"/>
                <w:color w:val="000000"/>
                <w:kern w:val="0"/>
                <w:sz w:val="22"/>
                <w:szCs w:val="22"/>
              </w:rPr>
              <w:t>报价合计（元）</w:t>
            </w:r>
          </w:p>
        </w:tc>
      </w:tr>
      <w:tr w14:paraId="60D2B878">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60EBE906">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1</w:t>
            </w:r>
          </w:p>
        </w:tc>
        <w:tc>
          <w:tcPr>
            <w:tcW w:w="4993" w:type="dxa"/>
            <w:tcBorders>
              <w:top w:val="nil"/>
              <w:left w:val="nil"/>
              <w:bottom w:val="single" w:color="auto" w:sz="4" w:space="0"/>
              <w:right w:val="single" w:color="auto" w:sz="4" w:space="0"/>
            </w:tcBorders>
            <w:shd w:val="clear" w:color="auto" w:fill="auto"/>
            <w:noWrap/>
            <w:vAlign w:val="center"/>
          </w:tcPr>
          <w:p w14:paraId="002A0DB6">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奔富一号法国红葡萄酒14.5%vol 750ml/瓶</w:t>
            </w:r>
          </w:p>
        </w:tc>
        <w:tc>
          <w:tcPr>
            <w:tcW w:w="850" w:type="dxa"/>
            <w:tcBorders>
              <w:top w:val="nil"/>
              <w:left w:val="nil"/>
              <w:bottom w:val="single" w:color="auto" w:sz="4" w:space="0"/>
              <w:right w:val="single" w:color="auto" w:sz="4" w:space="0"/>
            </w:tcBorders>
            <w:shd w:val="clear" w:color="auto" w:fill="auto"/>
            <w:vAlign w:val="center"/>
          </w:tcPr>
          <w:p w14:paraId="5AD5ED11">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182</w:t>
            </w:r>
          </w:p>
        </w:tc>
        <w:tc>
          <w:tcPr>
            <w:tcW w:w="709" w:type="dxa"/>
            <w:tcBorders>
              <w:top w:val="nil"/>
              <w:left w:val="nil"/>
              <w:bottom w:val="single" w:color="auto" w:sz="4" w:space="0"/>
              <w:right w:val="single" w:color="auto" w:sz="4" w:space="0"/>
            </w:tcBorders>
            <w:shd w:val="clear" w:color="auto" w:fill="auto"/>
            <w:noWrap/>
            <w:vAlign w:val="center"/>
          </w:tcPr>
          <w:p w14:paraId="06CAB616">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44" w:type="dxa"/>
            <w:tcBorders>
              <w:top w:val="nil"/>
              <w:left w:val="nil"/>
              <w:bottom w:val="single" w:color="auto" w:sz="4" w:space="0"/>
              <w:right w:val="single" w:color="auto" w:sz="4" w:space="0"/>
            </w:tcBorders>
            <w:shd w:val="clear" w:color="auto" w:fill="auto"/>
            <w:noWrap/>
            <w:vAlign w:val="center"/>
          </w:tcPr>
          <w:p w14:paraId="36204394">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9100</w:t>
            </w:r>
          </w:p>
        </w:tc>
        <w:tc>
          <w:tcPr>
            <w:tcW w:w="818" w:type="dxa"/>
            <w:tcBorders>
              <w:top w:val="nil"/>
              <w:left w:val="nil"/>
              <w:bottom w:val="single" w:color="auto" w:sz="4" w:space="0"/>
              <w:right w:val="single" w:color="auto" w:sz="4" w:space="0"/>
            </w:tcBorders>
            <w:shd w:val="clear" w:color="auto" w:fill="auto"/>
            <w:noWrap/>
            <w:vAlign w:val="center"/>
          </w:tcPr>
          <w:p w14:paraId="56574045">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0CAB3425">
            <w:pPr>
              <w:widowControl/>
              <w:jc w:val="center"/>
              <w:rPr>
                <w:rFonts w:cs="宋体" w:asciiTheme="minorEastAsia" w:hAnsiTheme="minorEastAsia" w:eastAsiaTheme="minorEastAsia"/>
                <w:color w:val="000000"/>
                <w:kern w:val="0"/>
                <w:sz w:val="20"/>
                <w:szCs w:val="20"/>
              </w:rPr>
            </w:pPr>
          </w:p>
        </w:tc>
      </w:tr>
      <w:tr w14:paraId="4C44B651">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515752A">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2</w:t>
            </w:r>
          </w:p>
        </w:tc>
        <w:tc>
          <w:tcPr>
            <w:tcW w:w="4993" w:type="dxa"/>
            <w:tcBorders>
              <w:top w:val="nil"/>
              <w:left w:val="nil"/>
              <w:bottom w:val="single" w:color="auto" w:sz="4" w:space="0"/>
              <w:right w:val="single" w:color="auto" w:sz="4" w:space="0"/>
            </w:tcBorders>
            <w:shd w:val="clear" w:color="auto" w:fill="auto"/>
            <w:noWrap/>
            <w:vAlign w:val="center"/>
          </w:tcPr>
          <w:p w14:paraId="184BC476">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奔富Bin28设拉子红葡萄酒14.5% 750ml/瓶</w:t>
            </w:r>
          </w:p>
        </w:tc>
        <w:tc>
          <w:tcPr>
            <w:tcW w:w="850" w:type="dxa"/>
            <w:tcBorders>
              <w:top w:val="nil"/>
              <w:left w:val="nil"/>
              <w:bottom w:val="single" w:color="auto" w:sz="4" w:space="0"/>
              <w:right w:val="single" w:color="auto" w:sz="4" w:space="0"/>
            </w:tcBorders>
            <w:shd w:val="clear" w:color="auto" w:fill="auto"/>
            <w:vAlign w:val="center"/>
          </w:tcPr>
          <w:p w14:paraId="14718F83">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258</w:t>
            </w:r>
          </w:p>
        </w:tc>
        <w:tc>
          <w:tcPr>
            <w:tcW w:w="709" w:type="dxa"/>
            <w:tcBorders>
              <w:top w:val="nil"/>
              <w:left w:val="nil"/>
              <w:bottom w:val="single" w:color="auto" w:sz="4" w:space="0"/>
              <w:right w:val="single" w:color="auto" w:sz="4" w:space="0"/>
            </w:tcBorders>
            <w:shd w:val="clear" w:color="auto" w:fill="auto"/>
            <w:noWrap/>
            <w:vAlign w:val="center"/>
          </w:tcPr>
          <w:p w14:paraId="5789C474">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44" w:type="dxa"/>
            <w:tcBorders>
              <w:top w:val="nil"/>
              <w:left w:val="nil"/>
              <w:bottom w:val="single" w:color="auto" w:sz="4" w:space="0"/>
              <w:right w:val="single" w:color="auto" w:sz="4" w:space="0"/>
            </w:tcBorders>
            <w:shd w:val="clear" w:color="auto" w:fill="auto"/>
            <w:noWrap/>
            <w:vAlign w:val="center"/>
          </w:tcPr>
          <w:p w14:paraId="5D7A9096">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12900</w:t>
            </w:r>
          </w:p>
        </w:tc>
        <w:tc>
          <w:tcPr>
            <w:tcW w:w="818" w:type="dxa"/>
            <w:tcBorders>
              <w:top w:val="nil"/>
              <w:left w:val="nil"/>
              <w:bottom w:val="single" w:color="auto" w:sz="4" w:space="0"/>
              <w:right w:val="single" w:color="auto" w:sz="4" w:space="0"/>
            </w:tcBorders>
            <w:shd w:val="clear" w:color="auto" w:fill="auto"/>
            <w:noWrap/>
            <w:vAlign w:val="center"/>
          </w:tcPr>
          <w:p w14:paraId="45AC9AF3">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21A719C2">
            <w:pPr>
              <w:widowControl/>
              <w:jc w:val="center"/>
              <w:rPr>
                <w:rFonts w:cs="宋体" w:asciiTheme="minorEastAsia" w:hAnsiTheme="minorEastAsia" w:eastAsiaTheme="minorEastAsia"/>
                <w:color w:val="000000"/>
                <w:kern w:val="0"/>
                <w:sz w:val="20"/>
                <w:szCs w:val="20"/>
              </w:rPr>
            </w:pPr>
          </w:p>
        </w:tc>
      </w:tr>
      <w:tr w14:paraId="69676D58">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25A2C0E2">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3</w:t>
            </w:r>
          </w:p>
        </w:tc>
        <w:tc>
          <w:tcPr>
            <w:tcW w:w="4993" w:type="dxa"/>
            <w:tcBorders>
              <w:top w:val="nil"/>
              <w:left w:val="nil"/>
              <w:bottom w:val="single" w:color="auto" w:sz="4" w:space="0"/>
              <w:right w:val="single" w:color="auto" w:sz="4" w:space="0"/>
            </w:tcBorders>
            <w:shd w:val="clear" w:color="auto" w:fill="auto"/>
            <w:noWrap/>
            <w:vAlign w:val="center"/>
          </w:tcPr>
          <w:p w14:paraId="3ACF1E31">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奔富BIN128库纳瓦拉设拉子红葡萄酒14.5% 750ml/瓶</w:t>
            </w:r>
          </w:p>
        </w:tc>
        <w:tc>
          <w:tcPr>
            <w:tcW w:w="850" w:type="dxa"/>
            <w:tcBorders>
              <w:top w:val="nil"/>
              <w:left w:val="nil"/>
              <w:bottom w:val="single" w:color="auto" w:sz="4" w:space="0"/>
              <w:right w:val="single" w:color="auto" w:sz="4" w:space="0"/>
            </w:tcBorders>
            <w:shd w:val="clear" w:color="auto" w:fill="auto"/>
            <w:vAlign w:val="center"/>
          </w:tcPr>
          <w:p w14:paraId="3F8B2D14">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339</w:t>
            </w:r>
          </w:p>
        </w:tc>
        <w:tc>
          <w:tcPr>
            <w:tcW w:w="709" w:type="dxa"/>
            <w:tcBorders>
              <w:top w:val="nil"/>
              <w:left w:val="nil"/>
              <w:bottom w:val="single" w:color="auto" w:sz="4" w:space="0"/>
              <w:right w:val="single" w:color="auto" w:sz="4" w:space="0"/>
            </w:tcBorders>
            <w:shd w:val="clear" w:color="auto" w:fill="auto"/>
            <w:noWrap/>
            <w:vAlign w:val="center"/>
          </w:tcPr>
          <w:p w14:paraId="1039D1B4">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44" w:type="dxa"/>
            <w:tcBorders>
              <w:top w:val="nil"/>
              <w:left w:val="nil"/>
              <w:bottom w:val="single" w:color="auto" w:sz="4" w:space="0"/>
              <w:right w:val="single" w:color="auto" w:sz="4" w:space="0"/>
            </w:tcBorders>
            <w:shd w:val="clear" w:color="auto" w:fill="auto"/>
            <w:noWrap/>
            <w:vAlign w:val="center"/>
          </w:tcPr>
          <w:p w14:paraId="326C9EF3">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16950</w:t>
            </w:r>
          </w:p>
        </w:tc>
        <w:tc>
          <w:tcPr>
            <w:tcW w:w="818" w:type="dxa"/>
            <w:tcBorders>
              <w:top w:val="nil"/>
              <w:left w:val="nil"/>
              <w:bottom w:val="single" w:color="auto" w:sz="4" w:space="0"/>
              <w:right w:val="single" w:color="auto" w:sz="4" w:space="0"/>
            </w:tcBorders>
            <w:shd w:val="clear" w:color="auto" w:fill="auto"/>
            <w:noWrap/>
            <w:vAlign w:val="center"/>
          </w:tcPr>
          <w:p w14:paraId="430230F8">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218A56B6">
            <w:pPr>
              <w:widowControl/>
              <w:jc w:val="center"/>
              <w:rPr>
                <w:rFonts w:cs="宋体" w:asciiTheme="minorEastAsia" w:hAnsiTheme="minorEastAsia" w:eastAsiaTheme="minorEastAsia"/>
                <w:color w:val="000000"/>
                <w:kern w:val="0"/>
                <w:sz w:val="20"/>
                <w:szCs w:val="20"/>
              </w:rPr>
            </w:pPr>
          </w:p>
        </w:tc>
      </w:tr>
      <w:tr w14:paraId="11CEB516">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658E243D">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4</w:t>
            </w:r>
          </w:p>
        </w:tc>
        <w:tc>
          <w:tcPr>
            <w:tcW w:w="4993" w:type="dxa"/>
            <w:tcBorders>
              <w:top w:val="nil"/>
              <w:left w:val="nil"/>
              <w:bottom w:val="single" w:color="auto" w:sz="4" w:space="0"/>
              <w:right w:val="single" w:color="auto" w:sz="4" w:space="0"/>
            </w:tcBorders>
            <w:shd w:val="clear" w:color="auto" w:fill="auto"/>
            <w:noWrap/>
            <w:vAlign w:val="center"/>
          </w:tcPr>
          <w:p w14:paraId="35FF907C">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奔富BIN389赤霞珠设拉子红葡萄酒14.5% 750ml/瓶</w:t>
            </w:r>
          </w:p>
        </w:tc>
        <w:tc>
          <w:tcPr>
            <w:tcW w:w="850" w:type="dxa"/>
            <w:tcBorders>
              <w:top w:val="nil"/>
              <w:left w:val="nil"/>
              <w:bottom w:val="single" w:color="auto" w:sz="4" w:space="0"/>
              <w:right w:val="single" w:color="auto" w:sz="4" w:space="0"/>
            </w:tcBorders>
            <w:shd w:val="clear" w:color="auto" w:fill="auto"/>
            <w:vAlign w:val="center"/>
          </w:tcPr>
          <w:p w14:paraId="66ED9E60">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560</w:t>
            </w:r>
          </w:p>
        </w:tc>
        <w:tc>
          <w:tcPr>
            <w:tcW w:w="709" w:type="dxa"/>
            <w:tcBorders>
              <w:top w:val="nil"/>
              <w:left w:val="nil"/>
              <w:bottom w:val="single" w:color="auto" w:sz="4" w:space="0"/>
              <w:right w:val="single" w:color="auto" w:sz="4" w:space="0"/>
            </w:tcBorders>
            <w:shd w:val="clear" w:color="auto" w:fill="auto"/>
            <w:noWrap/>
            <w:vAlign w:val="center"/>
          </w:tcPr>
          <w:p w14:paraId="2B5B76E2">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44" w:type="dxa"/>
            <w:tcBorders>
              <w:top w:val="nil"/>
              <w:left w:val="nil"/>
              <w:bottom w:val="single" w:color="auto" w:sz="4" w:space="0"/>
              <w:right w:val="single" w:color="auto" w:sz="4" w:space="0"/>
            </w:tcBorders>
            <w:shd w:val="clear" w:color="auto" w:fill="auto"/>
            <w:noWrap/>
            <w:vAlign w:val="center"/>
          </w:tcPr>
          <w:p w14:paraId="6E5A7C43">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28000</w:t>
            </w:r>
          </w:p>
        </w:tc>
        <w:tc>
          <w:tcPr>
            <w:tcW w:w="818" w:type="dxa"/>
            <w:tcBorders>
              <w:top w:val="nil"/>
              <w:left w:val="nil"/>
              <w:bottom w:val="single" w:color="auto" w:sz="4" w:space="0"/>
              <w:right w:val="single" w:color="auto" w:sz="4" w:space="0"/>
            </w:tcBorders>
            <w:shd w:val="clear" w:color="auto" w:fill="auto"/>
            <w:noWrap/>
            <w:vAlign w:val="center"/>
          </w:tcPr>
          <w:p w14:paraId="3176327E">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44DAAC56">
            <w:pPr>
              <w:widowControl/>
              <w:jc w:val="center"/>
              <w:rPr>
                <w:rFonts w:cs="宋体" w:asciiTheme="minorEastAsia" w:hAnsiTheme="minorEastAsia" w:eastAsiaTheme="minorEastAsia"/>
                <w:color w:val="000000"/>
                <w:kern w:val="0"/>
                <w:sz w:val="20"/>
                <w:szCs w:val="20"/>
              </w:rPr>
            </w:pPr>
          </w:p>
        </w:tc>
      </w:tr>
      <w:tr w14:paraId="6E2CBF9C">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270A713A">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5</w:t>
            </w:r>
          </w:p>
        </w:tc>
        <w:tc>
          <w:tcPr>
            <w:tcW w:w="4993" w:type="dxa"/>
            <w:tcBorders>
              <w:top w:val="nil"/>
              <w:left w:val="nil"/>
              <w:bottom w:val="single" w:color="auto" w:sz="4" w:space="0"/>
              <w:right w:val="single" w:color="auto" w:sz="4" w:space="0"/>
            </w:tcBorders>
            <w:shd w:val="clear" w:color="auto" w:fill="auto"/>
            <w:noWrap/>
            <w:vAlign w:val="center"/>
          </w:tcPr>
          <w:p w14:paraId="2F4AFC13">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奔富BIN407赤霞珠干红葡萄酒14.5% 750ml/瓶</w:t>
            </w:r>
          </w:p>
        </w:tc>
        <w:tc>
          <w:tcPr>
            <w:tcW w:w="850" w:type="dxa"/>
            <w:tcBorders>
              <w:top w:val="nil"/>
              <w:left w:val="nil"/>
              <w:bottom w:val="single" w:color="auto" w:sz="4" w:space="0"/>
              <w:right w:val="single" w:color="auto" w:sz="4" w:space="0"/>
            </w:tcBorders>
            <w:shd w:val="clear" w:color="auto" w:fill="auto"/>
            <w:vAlign w:val="center"/>
          </w:tcPr>
          <w:p w14:paraId="04ADA39F">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780</w:t>
            </w:r>
          </w:p>
        </w:tc>
        <w:tc>
          <w:tcPr>
            <w:tcW w:w="709" w:type="dxa"/>
            <w:tcBorders>
              <w:top w:val="nil"/>
              <w:left w:val="nil"/>
              <w:bottom w:val="single" w:color="auto" w:sz="4" w:space="0"/>
              <w:right w:val="single" w:color="auto" w:sz="4" w:space="0"/>
            </w:tcBorders>
            <w:shd w:val="clear" w:color="auto" w:fill="auto"/>
            <w:noWrap/>
            <w:vAlign w:val="center"/>
          </w:tcPr>
          <w:p w14:paraId="424E9DE9">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44" w:type="dxa"/>
            <w:tcBorders>
              <w:top w:val="nil"/>
              <w:left w:val="nil"/>
              <w:bottom w:val="single" w:color="auto" w:sz="4" w:space="0"/>
              <w:right w:val="single" w:color="auto" w:sz="4" w:space="0"/>
            </w:tcBorders>
            <w:shd w:val="clear" w:color="auto" w:fill="auto"/>
            <w:noWrap/>
            <w:vAlign w:val="center"/>
          </w:tcPr>
          <w:p w14:paraId="0F681C0A">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39000</w:t>
            </w:r>
          </w:p>
        </w:tc>
        <w:tc>
          <w:tcPr>
            <w:tcW w:w="818" w:type="dxa"/>
            <w:tcBorders>
              <w:top w:val="nil"/>
              <w:left w:val="nil"/>
              <w:bottom w:val="single" w:color="auto" w:sz="4" w:space="0"/>
              <w:right w:val="single" w:color="auto" w:sz="4" w:space="0"/>
            </w:tcBorders>
            <w:shd w:val="clear" w:color="auto" w:fill="auto"/>
            <w:noWrap/>
            <w:vAlign w:val="center"/>
          </w:tcPr>
          <w:p w14:paraId="77634228">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1F688C36">
            <w:pPr>
              <w:widowControl/>
              <w:jc w:val="center"/>
              <w:rPr>
                <w:rFonts w:cs="宋体" w:asciiTheme="minorEastAsia" w:hAnsiTheme="minorEastAsia" w:eastAsiaTheme="minorEastAsia"/>
                <w:color w:val="000000"/>
                <w:kern w:val="0"/>
                <w:sz w:val="20"/>
                <w:szCs w:val="20"/>
              </w:rPr>
            </w:pPr>
          </w:p>
        </w:tc>
      </w:tr>
      <w:tr w14:paraId="673F4226">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35D4A45D">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6</w:t>
            </w:r>
          </w:p>
        </w:tc>
        <w:tc>
          <w:tcPr>
            <w:tcW w:w="4993" w:type="dxa"/>
            <w:tcBorders>
              <w:top w:val="nil"/>
              <w:left w:val="nil"/>
              <w:bottom w:val="single" w:color="auto" w:sz="4" w:space="0"/>
              <w:right w:val="single" w:color="auto" w:sz="4" w:space="0"/>
            </w:tcBorders>
            <w:shd w:val="clear" w:color="auto" w:fill="auto"/>
            <w:noWrap/>
            <w:vAlign w:val="center"/>
          </w:tcPr>
          <w:p w14:paraId="73BB961C">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奔富BIN707赤霞珠红葡萄酒14.5%vol 750ml/瓶</w:t>
            </w:r>
          </w:p>
        </w:tc>
        <w:tc>
          <w:tcPr>
            <w:tcW w:w="850" w:type="dxa"/>
            <w:tcBorders>
              <w:top w:val="nil"/>
              <w:left w:val="nil"/>
              <w:bottom w:val="single" w:color="auto" w:sz="4" w:space="0"/>
              <w:right w:val="single" w:color="auto" w:sz="4" w:space="0"/>
            </w:tcBorders>
            <w:shd w:val="clear" w:color="auto" w:fill="auto"/>
            <w:vAlign w:val="center"/>
          </w:tcPr>
          <w:p w14:paraId="55A6F752">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3900</w:t>
            </w:r>
          </w:p>
        </w:tc>
        <w:tc>
          <w:tcPr>
            <w:tcW w:w="709" w:type="dxa"/>
            <w:tcBorders>
              <w:top w:val="nil"/>
              <w:left w:val="nil"/>
              <w:bottom w:val="single" w:color="auto" w:sz="4" w:space="0"/>
              <w:right w:val="single" w:color="auto" w:sz="4" w:space="0"/>
            </w:tcBorders>
            <w:shd w:val="clear" w:color="auto" w:fill="auto"/>
            <w:noWrap/>
            <w:vAlign w:val="center"/>
          </w:tcPr>
          <w:p w14:paraId="57A0534A">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44" w:type="dxa"/>
            <w:tcBorders>
              <w:top w:val="nil"/>
              <w:left w:val="nil"/>
              <w:bottom w:val="single" w:color="auto" w:sz="4" w:space="0"/>
              <w:right w:val="single" w:color="auto" w:sz="4" w:space="0"/>
            </w:tcBorders>
            <w:shd w:val="clear" w:color="auto" w:fill="auto"/>
            <w:noWrap/>
            <w:vAlign w:val="center"/>
          </w:tcPr>
          <w:p w14:paraId="6004F70C">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390000</w:t>
            </w:r>
          </w:p>
        </w:tc>
        <w:tc>
          <w:tcPr>
            <w:tcW w:w="818" w:type="dxa"/>
            <w:tcBorders>
              <w:top w:val="nil"/>
              <w:left w:val="nil"/>
              <w:bottom w:val="single" w:color="auto" w:sz="4" w:space="0"/>
              <w:right w:val="single" w:color="auto" w:sz="4" w:space="0"/>
            </w:tcBorders>
            <w:shd w:val="clear" w:color="auto" w:fill="auto"/>
            <w:noWrap/>
            <w:vAlign w:val="center"/>
          </w:tcPr>
          <w:p w14:paraId="4D6DA8CD">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3E6D05E9">
            <w:pPr>
              <w:widowControl/>
              <w:jc w:val="center"/>
              <w:rPr>
                <w:rFonts w:cs="宋体" w:asciiTheme="minorEastAsia" w:hAnsiTheme="minorEastAsia" w:eastAsiaTheme="minorEastAsia"/>
                <w:color w:val="000000"/>
                <w:kern w:val="0"/>
                <w:sz w:val="20"/>
                <w:szCs w:val="20"/>
              </w:rPr>
            </w:pPr>
          </w:p>
        </w:tc>
      </w:tr>
      <w:tr w14:paraId="7861FF1D">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17DA7DA5">
            <w:pPr>
              <w:widowControl/>
              <w:jc w:val="center"/>
              <w:rPr>
                <w:rFonts w:cs="宋体" w:asciiTheme="minorEastAsia" w:hAnsiTheme="minorEastAsia" w:eastAsiaTheme="minorEastAsia"/>
                <w:color w:val="000000"/>
                <w:kern w:val="0"/>
                <w:sz w:val="20"/>
                <w:szCs w:val="20"/>
              </w:rPr>
            </w:pPr>
          </w:p>
        </w:tc>
        <w:tc>
          <w:tcPr>
            <w:tcW w:w="4993" w:type="dxa"/>
            <w:tcBorders>
              <w:top w:val="nil"/>
              <w:left w:val="nil"/>
              <w:bottom w:val="single" w:color="auto" w:sz="4" w:space="0"/>
              <w:right w:val="single" w:color="auto" w:sz="4" w:space="0"/>
            </w:tcBorders>
            <w:shd w:val="clear" w:color="auto" w:fill="auto"/>
            <w:noWrap/>
            <w:vAlign w:val="center"/>
          </w:tcPr>
          <w:p w14:paraId="53BDCA30">
            <w:pP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合计</w:t>
            </w:r>
          </w:p>
        </w:tc>
        <w:tc>
          <w:tcPr>
            <w:tcW w:w="850" w:type="dxa"/>
            <w:tcBorders>
              <w:top w:val="nil"/>
              <w:left w:val="nil"/>
              <w:bottom w:val="single" w:color="auto" w:sz="4" w:space="0"/>
              <w:right w:val="single" w:color="auto" w:sz="4" w:space="0"/>
            </w:tcBorders>
            <w:shd w:val="clear" w:color="auto" w:fill="auto"/>
            <w:noWrap/>
            <w:vAlign w:val="center"/>
          </w:tcPr>
          <w:p w14:paraId="4CA7A2CC">
            <w:pPr>
              <w:jc w:val="center"/>
              <w:rPr>
                <w:rFonts w:cs="宋体" w:asciiTheme="minorEastAsia" w:hAnsiTheme="minorEastAsia" w:eastAsiaTheme="minorEastAsia"/>
                <w:color w:val="00000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6DFC3FE7">
            <w:pPr>
              <w:jc w:val="center"/>
              <w:rPr>
                <w:rFonts w:cs="宋体" w:asciiTheme="minorEastAsia" w:hAnsiTheme="minorEastAsia" w:eastAsiaTheme="minorEastAsia"/>
                <w:sz w:val="20"/>
                <w:szCs w:val="20"/>
              </w:rPr>
            </w:pPr>
          </w:p>
        </w:tc>
        <w:tc>
          <w:tcPr>
            <w:tcW w:w="1044" w:type="dxa"/>
            <w:tcBorders>
              <w:top w:val="nil"/>
              <w:left w:val="nil"/>
              <w:bottom w:val="single" w:color="auto" w:sz="4" w:space="0"/>
              <w:right w:val="single" w:color="auto" w:sz="4" w:space="0"/>
            </w:tcBorders>
            <w:shd w:val="clear" w:color="auto" w:fill="auto"/>
            <w:noWrap/>
            <w:vAlign w:val="center"/>
          </w:tcPr>
          <w:p w14:paraId="3C419F58">
            <w:pPr>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495950</w:t>
            </w:r>
          </w:p>
        </w:tc>
        <w:tc>
          <w:tcPr>
            <w:tcW w:w="818" w:type="dxa"/>
            <w:tcBorders>
              <w:top w:val="nil"/>
              <w:left w:val="nil"/>
              <w:bottom w:val="single" w:color="auto" w:sz="4" w:space="0"/>
              <w:right w:val="single" w:color="auto" w:sz="4" w:space="0"/>
            </w:tcBorders>
            <w:shd w:val="clear" w:color="auto" w:fill="auto"/>
            <w:noWrap/>
            <w:vAlign w:val="center"/>
          </w:tcPr>
          <w:p w14:paraId="1A16731F">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noWrap/>
            <w:vAlign w:val="center"/>
          </w:tcPr>
          <w:p w14:paraId="08A11D35">
            <w:pPr>
              <w:widowControl/>
              <w:jc w:val="center"/>
              <w:rPr>
                <w:rFonts w:cs="宋体" w:asciiTheme="minorEastAsia" w:hAnsiTheme="minorEastAsia" w:eastAsiaTheme="minorEastAsia"/>
                <w:color w:val="000000"/>
                <w:kern w:val="0"/>
                <w:sz w:val="20"/>
                <w:szCs w:val="20"/>
              </w:rPr>
            </w:pPr>
          </w:p>
        </w:tc>
      </w:tr>
    </w:tbl>
    <w:p w14:paraId="45AB3BB6">
      <w:pPr>
        <w:pStyle w:val="9"/>
        <w:jc w:val="left"/>
        <w:rPr>
          <w:rFonts w:ascii="Times New Roman" w:hAnsi="Times New Roman"/>
          <w:b/>
          <w:szCs w:val="24"/>
        </w:rPr>
      </w:pPr>
    </w:p>
    <w:p w14:paraId="7FECBFE1">
      <w:pPr>
        <w:spacing w:line="380" w:lineRule="exact"/>
        <w:ind w:right="420" w:firstLine="6670" w:firstLineChars="3164"/>
        <w:jc w:val="left"/>
        <w:rPr>
          <w:b/>
          <w:szCs w:val="21"/>
        </w:rPr>
      </w:pPr>
    </w:p>
    <w:p w14:paraId="4901FC24">
      <w:pPr>
        <w:spacing w:line="380" w:lineRule="exact"/>
        <w:ind w:right="420" w:firstLine="6670" w:firstLineChars="3164"/>
        <w:jc w:val="left"/>
        <w:rPr>
          <w:b/>
          <w:szCs w:val="21"/>
        </w:rPr>
      </w:pPr>
      <w:r>
        <w:rPr>
          <w:rFonts w:hint="eastAsia"/>
          <w:b/>
          <w:szCs w:val="21"/>
        </w:rPr>
        <w:t>报价人盖章：</w:t>
      </w:r>
    </w:p>
    <w:p w14:paraId="0A0E08E5">
      <w:pPr>
        <w:spacing w:line="380" w:lineRule="exact"/>
        <w:ind w:right="420" w:firstLine="6670" w:firstLineChars="3164"/>
        <w:jc w:val="left"/>
        <w:rPr>
          <w:b/>
          <w:szCs w:val="21"/>
        </w:rPr>
      </w:pPr>
      <w:r>
        <w:rPr>
          <w:rFonts w:hint="eastAsia"/>
          <w:b/>
          <w:szCs w:val="21"/>
        </w:rPr>
        <w:t>报价人联系方式：</w:t>
      </w:r>
    </w:p>
    <w:p w14:paraId="0B3C2074">
      <w:pPr>
        <w:spacing w:line="380" w:lineRule="exact"/>
        <w:ind w:right="420" w:firstLine="6670" w:firstLineChars="3164"/>
        <w:jc w:val="left"/>
        <w:rPr>
          <w:b/>
          <w:szCs w:val="21"/>
        </w:rPr>
      </w:pPr>
      <w:r>
        <w:rPr>
          <w:rFonts w:hint="eastAsia"/>
          <w:b/>
          <w:szCs w:val="21"/>
        </w:rPr>
        <w:t>报价日期：</w:t>
      </w:r>
    </w:p>
    <w:p w14:paraId="5F80F524">
      <w:pPr>
        <w:spacing w:line="380" w:lineRule="exact"/>
        <w:ind w:right="420" w:firstLine="6670" w:firstLineChars="3164"/>
        <w:jc w:val="left"/>
        <w:rPr>
          <w:b/>
          <w:szCs w:val="21"/>
        </w:rPr>
      </w:pPr>
    </w:p>
    <w:p w14:paraId="4222F4E2">
      <w:pPr>
        <w:spacing w:line="380" w:lineRule="exact"/>
        <w:rPr>
          <w:rFonts w:ascii="仿宋_GB2312" w:hAnsi="宋体" w:eastAsia="仿宋_GB2312" w:cs="宋体"/>
          <w:kern w:val="0"/>
          <w:sz w:val="24"/>
        </w:rPr>
      </w:pPr>
    </w:p>
    <w:p w14:paraId="7BA92480">
      <w:pPr>
        <w:spacing w:line="380" w:lineRule="exact"/>
        <w:rPr>
          <w:rFonts w:ascii="仿宋_GB2312" w:hAnsi="宋体" w:eastAsia="仿宋_GB2312" w:cs="宋体"/>
          <w:kern w:val="0"/>
          <w:sz w:val="24"/>
        </w:rPr>
      </w:pPr>
    </w:p>
    <w:p w14:paraId="25B08E43">
      <w:pPr>
        <w:spacing w:line="380" w:lineRule="exact"/>
        <w:rPr>
          <w:rFonts w:ascii="仿宋_GB2312" w:hAnsi="宋体" w:eastAsia="仿宋_GB2312" w:cs="宋体"/>
          <w:kern w:val="0"/>
          <w:sz w:val="24"/>
        </w:rPr>
      </w:pPr>
    </w:p>
    <w:p w14:paraId="1C7134F3">
      <w:pPr>
        <w:spacing w:line="380" w:lineRule="exact"/>
        <w:rPr>
          <w:rFonts w:ascii="仿宋_GB2312" w:hAnsi="宋体" w:eastAsia="仿宋_GB2312" w:cs="宋体"/>
          <w:kern w:val="0"/>
          <w:sz w:val="24"/>
        </w:rPr>
      </w:pPr>
    </w:p>
    <w:p w14:paraId="6BC5237F">
      <w:pPr>
        <w:spacing w:line="380" w:lineRule="exact"/>
        <w:rPr>
          <w:rFonts w:ascii="仿宋_GB2312" w:hAnsi="宋体" w:eastAsia="仿宋_GB2312" w:cs="宋体"/>
          <w:kern w:val="0"/>
          <w:sz w:val="24"/>
        </w:rPr>
      </w:pPr>
    </w:p>
    <w:p w14:paraId="1FD93409">
      <w:pPr>
        <w:spacing w:line="380" w:lineRule="exact"/>
        <w:rPr>
          <w:rFonts w:ascii="仿宋_GB2312" w:hAnsi="宋体" w:eastAsia="仿宋_GB2312" w:cs="宋体"/>
          <w:kern w:val="0"/>
          <w:sz w:val="24"/>
        </w:rPr>
      </w:pPr>
    </w:p>
    <w:p w14:paraId="0952220E">
      <w:pPr>
        <w:spacing w:line="380" w:lineRule="exact"/>
        <w:rPr>
          <w:rFonts w:ascii="仿宋_GB2312" w:hAnsi="宋体" w:eastAsia="仿宋_GB2312" w:cs="宋体"/>
          <w:kern w:val="0"/>
          <w:sz w:val="24"/>
        </w:rPr>
      </w:pPr>
    </w:p>
    <w:p w14:paraId="54F55208">
      <w:pPr>
        <w:spacing w:line="380" w:lineRule="exact"/>
        <w:rPr>
          <w:rFonts w:ascii="仿宋_GB2312" w:hAnsi="宋体" w:eastAsia="仿宋_GB2312" w:cs="宋体"/>
          <w:kern w:val="0"/>
          <w:sz w:val="24"/>
        </w:rPr>
      </w:pPr>
    </w:p>
    <w:p w14:paraId="2B690CDA">
      <w:pPr>
        <w:spacing w:line="380" w:lineRule="exact"/>
        <w:rPr>
          <w:rFonts w:ascii="仿宋_GB2312" w:hAnsi="宋体" w:eastAsia="仿宋_GB2312" w:cs="宋体"/>
          <w:kern w:val="0"/>
          <w:sz w:val="24"/>
        </w:rPr>
      </w:pPr>
    </w:p>
    <w:p w14:paraId="7F700A8C">
      <w:pPr>
        <w:spacing w:line="380" w:lineRule="exact"/>
        <w:rPr>
          <w:rFonts w:ascii="仿宋_GB2312" w:hAnsi="宋体" w:eastAsia="仿宋_GB2312" w:cs="宋体"/>
          <w:kern w:val="0"/>
          <w:sz w:val="24"/>
        </w:rPr>
      </w:pPr>
    </w:p>
    <w:p w14:paraId="64D9CDDA">
      <w:pPr>
        <w:spacing w:line="380" w:lineRule="exact"/>
        <w:rPr>
          <w:rFonts w:ascii="仿宋_GB2312" w:hAnsi="宋体" w:eastAsia="仿宋_GB2312" w:cs="宋体"/>
          <w:kern w:val="0"/>
          <w:sz w:val="24"/>
        </w:rPr>
      </w:pPr>
    </w:p>
    <w:p w14:paraId="34243CAE">
      <w:pPr>
        <w:spacing w:line="380" w:lineRule="exact"/>
        <w:rPr>
          <w:rFonts w:ascii="仿宋_GB2312" w:hAnsi="宋体" w:eastAsia="仿宋_GB2312" w:cs="宋体"/>
          <w:kern w:val="0"/>
          <w:sz w:val="24"/>
        </w:rPr>
      </w:pPr>
    </w:p>
    <w:p w14:paraId="60D97FF1">
      <w:pPr>
        <w:spacing w:line="380" w:lineRule="exact"/>
        <w:rPr>
          <w:rFonts w:ascii="仿宋_GB2312" w:hAnsi="宋体" w:eastAsia="仿宋_GB2312" w:cs="宋体"/>
          <w:kern w:val="0"/>
          <w:sz w:val="24"/>
        </w:rPr>
      </w:pPr>
    </w:p>
    <w:p w14:paraId="2257C00F">
      <w:pPr>
        <w:spacing w:line="380" w:lineRule="exact"/>
        <w:rPr>
          <w:rFonts w:ascii="仿宋_GB2312" w:hAnsi="宋体" w:eastAsia="仿宋_GB2312" w:cs="宋体"/>
          <w:kern w:val="0"/>
          <w:sz w:val="24"/>
        </w:rPr>
      </w:pPr>
    </w:p>
    <w:p w14:paraId="3F03E3E0">
      <w:pPr>
        <w:spacing w:line="380" w:lineRule="exact"/>
        <w:rPr>
          <w:rFonts w:ascii="仿宋_GB2312" w:hAnsi="宋体" w:eastAsia="仿宋_GB2312" w:cs="宋体"/>
          <w:kern w:val="0"/>
          <w:sz w:val="24"/>
        </w:rPr>
      </w:pPr>
    </w:p>
    <w:p w14:paraId="4EFF626F">
      <w:pPr>
        <w:spacing w:line="380" w:lineRule="exact"/>
        <w:rPr>
          <w:rFonts w:ascii="仿宋_GB2312" w:hAnsi="宋体" w:eastAsia="仿宋_GB2312" w:cs="宋体"/>
          <w:kern w:val="0"/>
          <w:sz w:val="24"/>
        </w:rPr>
      </w:pPr>
    </w:p>
    <w:p w14:paraId="7579ADC8">
      <w:pPr>
        <w:spacing w:line="380" w:lineRule="exact"/>
        <w:rPr>
          <w:rFonts w:ascii="仿宋_GB2312" w:hAnsi="宋体" w:eastAsia="仿宋_GB2312" w:cs="宋体"/>
          <w:kern w:val="0"/>
          <w:sz w:val="24"/>
        </w:rPr>
      </w:pPr>
    </w:p>
    <w:p w14:paraId="551401E5">
      <w:pPr>
        <w:spacing w:line="380" w:lineRule="exact"/>
        <w:rPr>
          <w:rFonts w:ascii="仿宋_GB2312" w:hAnsi="宋体" w:eastAsia="仿宋_GB2312" w:cs="宋体"/>
          <w:kern w:val="0"/>
          <w:sz w:val="24"/>
        </w:rPr>
      </w:pPr>
    </w:p>
    <w:p w14:paraId="501D26D1">
      <w:pPr>
        <w:spacing w:line="380" w:lineRule="exact"/>
        <w:rPr>
          <w:rFonts w:ascii="仿宋_GB2312" w:hAnsi="宋体" w:eastAsia="仿宋_GB2312" w:cs="宋体"/>
          <w:kern w:val="0"/>
          <w:sz w:val="24"/>
        </w:rPr>
      </w:pPr>
    </w:p>
    <w:p w14:paraId="1FE1CBAD">
      <w:pPr>
        <w:spacing w:line="380" w:lineRule="exact"/>
        <w:rPr>
          <w:rFonts w:ascii="仿宋_GB2312" w:hAnsi="宋体" w:eastAsia="仿宋_GB2312" w:cs="宋体"/>
          <w:kern w:val="0"/>
          <w:sz w:val="24"/>
        </w:rPr>
      </w:pPr>
      <w:bookmarkStart w:id="0" w:name="_GoBack"/>
      <w:bookmarkEnd w:id="0"/>
    </w:p>
    <w:p w14:paraId="7187C55E">
      <w:pPr>
        <w:spacing w:line="380" w:lineRule="exact"/>
        <w:rPr>
          <w:rFonts w:ascii="仿宋_GB2312" w:hAnsi="宋体" w:eastAsia="仿宋_GB2312" w:cs="宋体"/>
          <w:kern w:val="0"/>
          <w:sz w:val="24"/>
        </w:rPr>
      </w:pPr>
    </w:p>
    <w:p w14:paraId="4B7E7511">
      <w:pPr>
        <w:spacing w:line="380" w:lineRule="exact"/>
        <w:rPr>
          <w:b/>
        </w:rPr>
      </w:pPr>
      <w:r>
        <w:rPr>
          <w:rFonts w:hint="eastAsia"/>
          <w:b/>
        </w:rPr>
        <w:t>附件2：</w:t>
      </w:r>
    </w:p>
    <w:p w14:paraId="327073DE">
      <w:pPr>
        <w:spacing w:beforeLines="20" w:line="360" w:lineRule="auto"/>
        <w:jc w:val="center"/>
        <w:rPr>
          <w:b/>
          <w:sz w:val="32"/>
          <w:szCs w:val="32"/>
        </w:rPr>
      </w:pPr>
      <w:r>
        <w:rPr>
          <w:rFonts w:hint="eastAsia"/>
          <w:b/>
          <w:sz w:val="32"/>
          <w:szCs w:val="32"/>
        </w:rPr>
        <w:t>承诺函</w:t>
      </w:r>
    </w:p>
    <w:p w14:paraId="34628E5F">
      <w:pPr>
        <w:spacing w:beforeLines="30" w:line="400" w:lineRule="exact"/>
        <w:ind w:firstLine="480" w:firstLineChars="200"/>
        <w:rPr>
          <w:rFonts w:ascii="宋体" w:hAnsi="宋体"/>
          <w:sz w:val="24"/>
        </w:rPr>
      </w:pPr>
      <w:r>
        <w:rPr>
          <w:rFonts w:hint="eastAsia" w:ascii="宋体" w:hAnsi="宋体"/>
          <w:sz w:val="24"/>
        </w:rPr>
        <w:t>万翔商城为正品行货商城，杜绝以假冒、伪劣、过期等不良品以次充好，欺骗消费者等影响其公司声誉的行为。为了共同加强食品经营管理，保护消费者合法权益，我司在食品供货方面特向万翔做以下承诺：</w:t>
      </w:r>
    </w:p>
    <w:p w14:paraId="4BC0942E">
      <w:pPr>
        <w:spacing w:beforeLines="30" w:line="400" w:lineRule="exact"/>
        <w:ind w:firstLine="360" w:firstLineChars="150"/>
        <w:jc w:val="left"/>
        <w:rPr>
          <w:rFonts w:ascii="宋体" w:hAnsi="宋体"/>
          <w:sz w:val="24"/>
        </w:rPr>
      </w:pPr>
      <w:r>
        <w:rPr>
          <w:rFonts w:hint="eastAsia" w:ascii="宋体" w:hAnsi="宋体"/>
          <w:sz w:val="24"/>
        </w:rPr>
        <w:t>1、我司在合作之前向万翔提供相关资质材料并加盖红印公章。</w:t>
      </w:r>
    </w:p>
    <w:p w14:paraId="71300EC5">
      <w:pPr>
        <w:spacing w:beforeLines="30" w:line="400" w:lineRule="exact"/>
        <w:ind w:firstLine="360" w:firstLineChars="150"/>
        <w:rPr>
          <w:rFonts w:ascii="宋体" w:hAnsi="宋体"/>
          <w:sz w:val="24"/>
        </w:rPr>
      </w:pPr>
      <w:r>
        <w:rPr>
          <w:rFonts w:hint="eastAsia" w:ascii="宋体" w:hAnsi="宋体"/>
          <w:sz w:val="24"/>
        </w:rPr>
        <w:t>2、我司每次送货前会做好食品安全检查，根据万翔要求提供相关批次产品的合格证明。送货产品的包装符合国家有关规定，每一包装单位均在包装上有标注生产日期，且附有产品合格证。我司供货的具体产品的生产日期承诺满足如下要求：</w:t>
      </w:r>
    </w:p>
    <w:p w14:paraId="5956694A">
      <w:pPr>
        <w:spacing w:beforeLines="30" w:line="400" w:lineRule="exact"/>
        <w:ind w:firstLine="480" w:firstLineChars="200"/>
        <w:rPr>
          <w:rFonts w:ascii="宋体" w:hAnsi="宋体"/>
          <w:sz w:val="24"/>
        </w:rPr>
      </w:pPr>
      <w:r>
        <w:rPr>
          <w:rFonts w:hint="eastAsia" w:ascii="宋体" w:hAnsi="宋体"/>
          <w:sz w:val="24"/>
        </w:rPr>
        <w:t>2.1入万翔仓库验收的商品，包装食品类除酒类产品外，其他产品包括非进口食品的生产日期距实际交货日期不超过该产品保质期的1/3，进口食品的生产日期距实际交货日期不超过该产品保质期的1/2。</w:t>
      </w:r>
    </w:p>
    <w:p w14:paraId="2C3DD5E3">
      <w:pPr>
        <w:spacing w:beforeLines="30" w:line="400" w:lineRule="exact"/>
        <w:ind w:firstLine="480" w:firstLineChars="200"/>
        <w:rPr>
          <w:rFonts w:ascii="宋体" w:hAnsi="宋体"/>
          <w:sz w:val="24"/>
        </w:rPr>
      </w:pPr>
      <w:r>
        <w:rPr>
          <w:rFonts w:hint="eastAsia" w:ascii="宋体" w:hAnsi="宋体"/>
          <w:sz w:val="24"/>
        </w:rPr>
        <w:t>2.2我司直接发货给客户的商品，包装食品类除酒类产品外，其他产品包括非进口食品的生产日期距客户实际收货日期不超过该产品保质期的1/3，进口食品的生产日期距客户实际收货日期不超过产品保质期的1/2；</w:t>
      </w:r>
    </w:p>
    <w:p w14:paraId="216631F6">
      <w:pPr>
        <w:spacing w:beforeLines="30" w:line="400" w:lineRule="exact"/>
        <w:ind w:firstLine="480" w:firstLineChars="200"/>
        <w:rPr>
          <w:rFonts w:ascii="宋体" w:hAnsi="宋体"/>
          <w:sz w:val="24"/>
        </w:rPr>
      </w:pPr>
      <w:r>
        <w:rPr>
          <w:rFonts w:hint="eastAsia" w:ascii="宋体" w:hAnsi="宋体"/>
          <w:sz w:val="24"/>
        </w:rPr>
        <w:t>3、发现我司所提供的产品存在假冒、伪劣、过期等不良品以次充好的现象，我司同意接受以下处理方式：</w:t>
      </w:r>
    </w:p>
    <w:p w14:paraId="39C5B1B3">
      <w:pPr>
        <w:spacing w:beforeLines="30" w:line="400" w:lineRule="exact"/>
        <w:ind w:firstLine="480" w:firstLineChars="200"/>
        <w:rPr>
          <w:rFonts w:ascii="宋体" w:hAnsi="宋体"/>
          <w:sz w:val="24"/>
        </w:rPr>
      </w:pPr>
      <w:r>
        <w:rPr>
          <w:rFonts w:hint="eastAsia" w:ascii="宋体" w:hAnsi="宋体"/>
          <w:sz w:val="24"/>
        </w:rPr>
        <w:t>3.1入库商品验收过程中，发现外包装破损、产品标注的生产日期不满足第2条约定等其他质量问题，万翔仓库有权拒收。</w:t>
      </w:r>
    </w:p>
    <w:p w14:paraId="06E2E09B">
      <w:pPr>
        <w:spacing w:beforeLines="30" w:line="400" w:lineRule="exact"/>
        <w:ind w:firstLine="480" w:firstLineChars="200"/>
        <w:rPr>
          <w:rFonts w:ascii="宋体" w:hAnsi="宋体"/>
          <w:sz w:val="24"/>
        </w:rPr>
      </w:pPr>
      <w:r>
        <w:rPr>
          <w:rFonts w:hint="eastAsia" w:ascii="宋体" w:hAnsi="宋体"/>
          <w:sz w:val="24"/>
        </w:rPr>
        <w:t>3.2直供商品发货过程中，若发现客户实际收到的产品生产日期不满足2.2条约定，万翔可视该产品为过期商品，我司同意接受该商品销售额的十倍处罚。</w:t>
      </w:r>
    </w:p>
    <w:p w14:paraId="1F281960">
      <w:pPr>
        <w:spacing w:beforeLines="30" w:line="400" w:lineRule="exact"/>
        <w:ind w:firstLine="480" w:firstLineChars="200"/>
        <w:rPr>
          <w:rFonts w:ascii="宋体" w:hAnsi="宋体"/>
          <w:sz w:val="24"/>
        </w:rPr>
      </w:pPr>
      <w:r>
        <w:rPr>
          <w:rFonts w:hint="eastAsia" w:ascii="宋体" w:hAnsi="宋体"/>
          <w:sz w:val="24"/>
        </w:rPr>
        <w:t>3.3已发货商品若客户投诉存在假冒伪劣、过期等不良品以次充好的质量问题，经核实，情况属实的我司同意接受以商品销售额的十倍处罚，并承担退货的一切费用，后果严重的同意接受追究法律责任。</w:t>
      </w:r>
    </w:p>
    <w:p w14:paraId="2992FEF2">
      <w:pPr>
        <w:spacing w:beforeLines="30" w:line="400" w:lineRule="exact"/>
        <w:ind w:firstLine="480" w:firstLineChars="200"/>
        <w:rPr>
          <w:rFonts w:ascii="宋体" w:hAnsi="宋体"/>
          <w:sz w:val="24"/>
        </w:rPr>
      </w:pPr>
      <w:r>
        <w:rPr>
          <w:rFonts w:hint="eastAsia" w:ascii="宋体" w:hAnsi="宋体"/>
          <w:sz w:val="24"/>
        </w:rPr>
        <w:t>以上规定我司能够认真遵守并履行，共同来维护我们买卖双方的关系，支持商城工作。我司若违反上述条例，其中涉及处罚金额的我司同意接受以商品销售额的十倍处罚，该笔处罚金将直接在下笔采购货款结算中扣除。我司在年度供货过程中若出现三次违约情况，同意接受万翔取消我司的供货资格。</w:t>
      </w:r>
    </w:p>
    <w:p w14:paraId="56C27872"/>
    <w:p w14:paraId="3D0BE13E">
      <w:pPr>
        <w:ind w:firstLine="4920" w:firstLineChars="2050"/>
      </w:pPr>
      <w:r>
        <w:rPr>
          <w:rFonts w:hint="eastAsia" w:ascii="宋体" w:hAnsi="宋体"/>
          <w:sz w:val="24"/>
        </w:rPr>
        <w:t>供应商单位名称（签字盖章）</w:t>
      </w:r>
    </w:p>
    <w:sectPr>
      <w:pgSz w:w="11906" w:h="16838"/>
      <w:pgMar w:top="851" w:right="1230" w:bottom="851"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yOTgzNjcwNTg3NDNiZGU2YzE1MjQwMjM0OWE1MjgifQ=="/>
  </w:docVars>
  <w:rsids>
    <w:rsidRoot w:val="00541944"/>
    <w:rsid w:val="00003933"/>
    <w:rsid w:val="00076E8A"/>
    <w:rsid w:val="00196005"/>
    <w:rsid w:val="002E4208"/>
    <w:rsid w:val="00304CBC"/>
    <w:rsid w:val="00395A36"/>
    <w:rsid w:val="00541944"/>
    <w:rsid w:val="00564E3D"/>
    <w:rsid w:val="005D0E2F"/>
    <w:rsid w:val="005F5E90"/>
    <w:rsid w:val="006338A0"/>
    <w:rsid w:val="00672998"/>
    <w:rsid w:val="006757C9"/>
    <w:rsid w:val="00675A9A"/>
    <w:rsid w:val="00692C16"/>
    <w:rsid w:val="0069319F"/>
    <w:rsid w:val="00870E4A"/>
    <w:rsid w:val="0088126F"/>
    <w:rsid w:val="008B3A34"/>
    <w:rsid w:val="00950BFA"/>
    <w:rsid w:val="00A31EA8"/>
    <w:rsid w:val="00A57264"/>
    <w:rsid w:val="00A65A2E"/>
    <w:rsid w:val="00B37930"/>
    <w:rsid w:val="00C6288C"/>
    <w:rsid w:val="00CB3EA2"/>
    <w:rsid w:val="00D46460"/>
    <w:rsid w:val="00D57C29"/>
    <w:rsid w:val="00DD3CEA"/>
    <w:rsid w:val="00E25AA5"/>
    <w:rsid w:val="00F074D2"/>
    <w:rsid w:val="3F5D3C1B"/>
    <w:rsid w:val="44BC0EC5"/>
    <w:rsid w:val="5C2247FD"/>
    <w:rsid w:val="5C812E2C"/>
    <w:rsid w:val="702E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unhideWhenUsed/>
    <w:qFormat/>
    <w:uiPriority w:val="99"/>
    <w:rPr>
      <w:rFonts w:ascii="宋体" w:hAnsi="Courier New" w:cs="Courier New"/>
      <w:szCs w:val="21"/>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paragraph" w:customStyle="1" w:styleId="9">
    <w:name w:val="样式3"/>
    <w:basedOn w:val="2"/>
    <w:qFormat/>
    <w:uiPriority w:val="0"/>
  </w:style>
  <w:style w:type="paragraph" w:customStyle="1" w:styleId="10">
    <w:name w:val="p0"/>
    <w:basedOn w:val="1"/>
    <w:qFormat/>
    <w:uiPriority w:val="0"/>
    <w:pPr>
      <w:widowControl/>
    </w:pPr>
    <w:rPr>
      <w:kern w:val="0"/>
      <w:szCs w:val="21"/>
    </w:rPr>
  </w:style>
  <w:style w:type="character" w:customStyle="1" w:styleId="11">
    <w:name w:val="纯文本 Char"/>
    <w:basedOn w:val="6"/>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3235</Words>
  <Characters>3542</Characters>
  <Lines>26</Lines>
  <Paragraphs>7</Paragraphs>
  <TotalTime>1</TotalTime>
  <ScaleCrop>false</ScaleCrop>
  <LinksUpToDate>false</LinksUpToDate>
  <CharactersWithSpaces>3568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2022-03-07T02:07:00Z</dcterms:created>
  <dc:creator>颜晓梅</dc:creator>
  <cp:lastModifiedBy>村长OLiver</cp:lastModifiedBy>
  <dcterms:modified xsi:type="dcterms:W3CDTF">2024-12-27T08:47:13Z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593069C002C943AABB37F4EA6CB36F73_12</vt:lpwstr>
  </property>
  <property fmtid="{D5CDD505-2E9C-101B-9397-08002B2CF9AE}" pid="4" name="KSOTemplateDocerSaveRecord">
    <vt:lpwstr>eyJoZGlkIjoiNmEyOTgzNjcwNTg3NDNiZGU2YzE1MjQwMjM0OWE1MjgiLCJ1c2VySWQiOiI0NTc4NjI1ODAifQ==</vt:lpwstr>
  </property>
</Properties>
</file>