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w:t>
      </w:r>
    </w:p>
    <w:p>
      <w:pPr>
        <w:pStyle w:val="null3"/>
        <w:jc w:val="center"/>
        <w:outlineLvl w:val="0"/>
      </w:pPr>
      <w:r>
        <w:rPr>
          <w:sz w:val="48"/>
          <w:b/>
        </w:rPr>
        <w:t>货物和服务项目</w:t>
      </w:r>
    </w:p>
    <w:p>
      <w:pPr>
        <w:pStyle w:val="null3"/>
        <w:jc w:val="center"/>
        <w:outlineLvl w:val="0"/>
      </w:pPr>
      <w:r>
        <w:rPr>
          <w:sz w:val="48"/>
          <w:b/>
        </w:rPr>
        <w:t>公开招标文件</w:t>
      </w:r>
    </w:p>
    <w:p>
      <w:pPr>
        <w:pStyle w:val="null3"/>
        <w:jc w:val="center"/>
        <w:outlineLvl w:val="2"/>
      </w:pPr>
      <w:r>
        <w:rPr>
          <w:sz w:val="28"/>
          <w:b/>
        </w:rPr>
        <w:t>项目名称：</w:t>
      </w:r>
      <w:r>
        <w:rPr>
          <w:sz w:val="28"/>
          <w:b/>
        </w:rPr>
        <w:t>厦门市2025届高中毕业班二轮复习备考培训</w:t>
      </w:r>
    </w:p>
    <w:p>
      <w:pPr>
        <w:pStyle w:val="null3"/>
        <w:jc w:val="center"/>
        <w:outlineLvl w:val="2"/>
      </w:pPr>
      <w:r>
        <w:rPr>
          <w:sz w:val="28"/>
          <w:b/>
        </w:rPr>
        <w:t>备案编号：</w:t>
      </w:r>
      <w:r>
        <w:rPr>
          <w:sz w:val="28"/>
          <w:b/>
        </w:rPr>
        <w:t>CGXM-2024-350201-01717[2024]00907</w:t>
      </w:r>
    </w:p>
    <w:p>
      <w:pPr>
        <w:pStyle w:val="null3"/>
        <w:jc w:val="center"/>
        <w:outlineLvl w:val="2"/>
      </w:pPr>
      <w:r>
        <w:rPr>
          <w:sz w:val="28"/>
          <w:b/>
        </w:rPr>
        <w:t>项目编号：</w:t>
      </w:r>
      <w:r>
        <w:rPr>
          <w:sz w:val="28"/>
          <w:b/>
        </w:rPr>
        <w:t>[350201]wx[GK]2024043</w:t>
      </w:r>
    </w:p>
    <w:p>
      <w:pPr>
        <w:pStyle w:val="null3"/>
        <w:jc w:val="center"/>
        <w:outlineLvl w:val="2"/>
      </w:pPr>
      <w:r>
        <w:rPr>
          <w:sz w:val="28"/>
          <w:b/>
        </w:rPr>
        <w:t>采购人：</w:t>
      </w:r>
      <w:r>
        <w:rPr>
          <w:sz w:val="28"/>
          <w:b/>
        </w:rPr>
        <w:t>厦门市教育科学研究院</w:t>
      </w:r>
    </w:p>
    <w:p>
      <w:pPr>
        <w:pStyle w:val="null3"/>
        <w:jc w:val="center"/>
        <w:outlineLvl w:val="2"/>
      </w:pPr>
      <w:r>
        <w:rPr>
          <w:sz w:val="28"/>
          <w:b/>
        </w:rPr>
        <w:t>代理机构：</w:t>
      </w:r>
      <w:r>
        <w:rPr>
          <w:sz w:val="28"/>
          <w:b/>
        </w:rPr>
        <w:t>厦门万翔招标有限公司</w:t>
      </w:r>
    </w:p>
    <w:p>
      <w:pPr>
        <w:pStyle w:val="null3"/>
        <w:jc w:val="center"/>
        <w:outlineLvl w:val="2"/>
      </w:pPr>
      <w:r>
        <w:rPr>
          <w:sz w:val="28"/>
          <w:b/>
        </w:rPr>
        <w:t>编制时间</w:t>
      </w:r>
      <w:r>
        <w:rPr>
          <w:sz w:val="28"/>
          <w:b/>
        </w:rPr>
        <w:t>：</w:t>
      </w:r>
      <w:r>
        <w:rPr>
          <w:sz w:val="28"/>
          <w:b/>
        </w:rPr>
        <w:t>2024年12月</w:t>
      </w:r>
    </w:p>
    <w:p>
      <w:pPr>
        <w:pStyle w:val="null3"/>
      </w:pPr>
      <w:r>
        <w:rPr/>
        <w:t xml:space="preserve"> </w:t>
        <w:br/>
        <w:br w:type="page"/>
      </w:r>
    </w:p>
    <w:p>
      <w:pPr>
        <w:pStyle w:val="null3"/>
        <w:jc w:val="center"/>
        <w:outlineLvl w:val="1"/>
      </w:pPr>
      <w:r>
        <w:rPr>
          <w:sz w:val="36"/>
          <w:b/>
        </w:rPr>
        <w:t>第一章 投标邀请</w:t>
      </w:r>
    </w:p>
    <w:p>
      <w:pPr>
        <w:pStyle w:val="null3"/>
        <w:ind w:firstLine="480"/>
        <w:jc w:val="both"/>
      </w:pPr>
      <w:r>
        <w:rPr/>
        <w:t>厦门万翔招标有限公司</w:t>
      </w:r>
      <w:r>
        <w:rPr/>
        <w:t xml:space="preserve"> 采用公开招标方式组织 </w:t>
      </w:r>
      <w:r>
        <w:rPr/>
        <w:t>厦门市2025届高中毕业班二轮复习备考培训</w:t>
      </w:r>
      <w:r>
        <w:rPr/>
        <w:t xml:space="preserve"> （以下简称：“本项目”）的政府采购活动，现邀请供应商参加投标。</w:t>
      </w:r>
    </w:p>
    <w:p>
      <w:pPr>
        <w:pStyle w:val="null3"/>
        <w:ind w:firstLine="480"/>
        <w:jc w:val="left"/>
        <w:outlineLvl w:val="2"/>
      </w:pPr>
      <w:r>
        <w:rPr>
          <w:sz w:val="28"/>
          <w:b/>
        </w:rPr>
        <w:t>1、备案编号</w:t>
      </w:r>
      <w:r>
        <w:rPr>
          <w:sz w:val="28"/>
          <w:b/>
        </w:rPr>
        <w:t>：</w:t>
      </w:r>
      <w:r>
        <w:rPr>
          <w:sz w:val="28"/>
          <w:b/>
        </w:rPr>
        <w:t>CGXM-2024-350201-01717[2024]00907</w:t>
      </w:r>
    </w:p>
    <w:p>
      <w:pPr>
        <w:pStyle w:val="null3"/>
        <w:ind w:firstLine="480"/>
        <w:jc w:val="left"/>
        <w:outlineLvl w:val="2"/>
      </w:pPr>
      <w:r>
        <w:rPr>
          <w:sz w:val="28"/>
          <w:b/>
        </w:rPr>
        <w:t>2、项目编号</w:t>
      </w:r>
      <w:r>
        <w:rPr>
          <w:sz w:val="28"/>
          <w:b/>
        </w:rPr>
        <w:t>：</w:t>
      </w:r>
      <w:r>
        <w:rPr>
          <w:sz w:val="28"/>
          <w:b/>
        </w:rPr>
        <w:t>[350201]wx[GK]2024043</w:t>
      </w:r>
    </w:p>
    <w:p>
      <w:pPr>
        <w:pStyle w:val="null3"/>
        <w:ind w:firstLine="480"/>
        <w:jc w:val="both"/>
        <w:outlineLvl w:val="2"/>
      </w:pPr>
      <w:r>
        <w:rPr>
          <w:sz w:val="28"/>
          <w:b/>
        </w:rPr>
        <w:t>3、预算金额、最高限价</w:t>
      </w:r>
      <w:r>
        <w:rPr>
          <w:sz w:val="28"/>
          <w:b/>
        </w:rPr>
        <w:t>：详见《采购标的一览表》。</w:t>
      </w:r>
    </w:p>
    <w:p>
      <w:pPr>
        <w:pStyle w:val="null3"/>
        <w:ind w:firstLine="480"/>
        <w:jc w:val="left"/>
        <w:outlineLvl w:val="2"/>
      </w:pPr>
      <w:r>
        <w:rPr>
          <w:sz w:val="28"/>
          <w:b/>
        </w:rPr>
        <w:t>4、招标内容及要求</w:t>
      </w:r>
      <w:r>
        <w:rPr>
          <w:sz w:val="28"/>
          <w:b/>
        </w:rPr>
        <w:t>：详见《采购标的一览表》及招标文件第五章。</w:t>
      </w:r>
    </w:p>
    <w:p>
      <w:pPr>
        <w:pStyle w:val="null3"/>
        <w:ind w:firstLine="480"/>
        <w:jc w:val="left"/>
        <w:outlineLvl w:val="2"/>
      </w:pPr>
      <w:r>
        <w:rPr>
          <w:sz w:val="28"/>
          <w:b/>
        </w:rPr>
        <w:t>5、需要落实的政府采购政策</w:t>
      </w:r>
    </w:p>
    <w:p>
      <w:pPr>
        <w:pStyle w:val="null3"/>
        <w:ind w:firstLine="960"/>
        <w:jc w:val="left"/>
      </w:pPr>
      <w:r>
        <w:rPr/>
        <w:t>进口产品：</w:t>
      </w:r>
      <w:r>
        <w:rPr/>
        <w:t>本项目不适用</w:t>
      </w:r>
    </w:p>
    <w:p>
      <w:pPr>
        <w:pStyle w:val="null3"/>
        <w:ind w:firstLine="960"/>
        <w:jc w:val="left"/>
      </w:pPr>
      <w:r>
        <w:rPr/>
        <w:t>节能产品：</w:t>
      </w:r>
      <w:r>
        <w:rPr/>
        <w:t>本项目不适用</w:t>
      </w:r>
    </w:p>
    <w:p>
      <w:pPr>
        <w:pStyle w:val="null3"/>
        <w:ind w:firstLine="960"/>
        <w:jc w:val="left"/>
      </w:pPr>
      <w:r>
        <w:rPr/>
        <w:t>环境标志产品：</w:t>
      </w:r>
      <w:r>
        <w:rPr/>
        <w:t>本项目不适用</w:t>
      </w:r>
    </w:p>
    <w:p>
      <w:pPr>
        <w:pStyle w:val="null3"/>
        <w:ind w:firstLine="960"/>
        <w:jc w:val="left"/>
      </w:pPr>
      <w:r>
        <w:rPr/>
        <w:t>促进中小企业发展的相关政策：</w:t>
      </w:r>
    </w:p>
    <w:p>
      <w:pPr>
        <w:pStyle w:val="null3"/>
        <w:ind w:firstLine="960"/>
        <w:jc w:val="left"/>
      </w:pPr>
      <w:r>
        <w:rPr/>
        <w:t>采购包1：专门采购包预留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ind w:firstLine="480"/>
        <w:jc w:val="both"/>
        <w:outlineLvl w:val="2"/>
      </w:pPr>
      <w:r>
        <w:rPr>
          <w:sz w:val="28"/>
          <w:b/>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资格承诺函</w:t>
            </w:r>
          </w:p>
        </w:tc>
        <w:tc>
          <w:tcPr>
            <w:tcW w:type="dxa" w:w="4614"/>
          </w:tcPr>
          <w:p>
            <w:pPr>
              <w:pStyle w:val="null3"/>
              <w:jc w:val="both"/>
            </w:pPr>
            <w:r>
              <w:rPr/>
              <w:t>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招标文件若有与此条款不一致的，以此为准）</w:t>
            </w:r>
          </w:p>
        </w:tc>
      </w:tr>
      <w:tr>
        <w:tc>
          <w:tcPr>
            <w:tcW w:type="dxa" w:w="3692"/>
          </w:tcPr>
          <w:p>
            <w:pPr>
              <w:pStyle w:val="null3"/>
              <w:jc w:val="both"/>
            </w:pPr>
            <w:r>
              <w:rPr/>
              <w:t>信用记录要求（招标文件其他地方要求与本条款要求不一致的，以本条款要求为准）</w:t>
            </w:r>
          </w:p>
        </w:tc>
        <w:tc>
          <w:tcPr>
            <w:tcW w:type="dxa" w:w="4614"/>
          </w:tcPr>
          <w:p>
            <w:pPr>
              <w:pStyle w:val="null3"/>
              <w:jc w:val="both"/>
            </w:pPr>
            <w:r>
              <w:rPr/>
              <w:t>1、信用信息查询渠道：资格审查小组通过“信用中国”网站（www.creditchina.gov.cn）、中国政府采购网（www.ccgp.gov.cn）、“信用厦门”网站（credit.xm.gov.cn）查询所有供应商的信用信息。 2、截止时点：查询供应商截止开标当天前三年内的信用信息。 3、查询记录和证据留存方式：资格审查小组将查询结果网页打印后随评标报告一并存档。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 5、供应商无需提供信用信息查询结果。若供应商自行提供查询结果的，仍以资格审查人员查询结果为准。</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sz w:val="28"/>
          <w:b/>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sz w:val="28"/>
          <w:b/>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sz w:val="28"/>
          <w:b/>
        </w:rPr>
        <w:t>9、开标时间及地点</w:t>
      </w:r>
    </w:p>
    <w:p>
      <w:pPr>
        <w:pStyle w:val="null3"/>
        <w:ind w:firstLine="960"/>
        <w:jc w:val="both"/>
      </w:pPr>
      <w:r>
        <w:rPr/>
        <w:t>详见招标公告或更正公告，若不一致，以更正公告为准。</w:t>
      </w:r>
    </w:p>
    <w:p>
      <w:pPr>
        <w:pStyle w:val="null3"/>
        <w:ind w:firstLine="480"/>
        <w:jc w:val="both"/>
        <w:outlineLvl w:val="2"/>
      </w:pPr>
      <w:r>
        <w:rPr>
          <w:sz w:val="28"/>
          <w:b/>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sz w:val="28"/>
          <w:b/>
        </w:rPr>
        <w:t>11、采购人</w:t>
      </w:r>
      <w:r>
        <w:rPr>
          <w:sz w:val="28"/>
          <w:b/>
        </w:rPr>
        <w:t>：</w:t>
      </w:r>
      <w:r>
        <w:rPr>
          <w:sz w:val="28"/>
          <w:b/>
        </w:rPr>
        <w:t>厦门市教育科学研究院</w:t>
      </w:r>
    </w:p>
    <w:p>
      <w:pPr>
        <w:pStyle w:val="null3"/>
        <w:ind w:firstLine="960"/>
        <w:jc w:val="left"/>
      </w:pPr>
      <w:r>
        <w:rPr/>
        <w:t xml:space="preserve"> 地址： </w:t>
      </w:r>
      <w:r>
        <w:rPr/>
        <w:t>福建省厦门市思明区坑内路２３号</w:t>
      </w:r>
    </w:p>
    <w:p>
      <w:pPr>
        <w:pStyle w:val="null3"/>
        <w:jc w:val="left"/>
      </w:pPr>
      <w:r>
        <w:rPr/>
        <w:t xml:space="preserve"> 邮编： </w:t>
      </w:r>
      <w:r>
        <w:rPr/>
        <w:t>361001</w:t>
      </w:r>
    </w:p>
    <w:p>
      <w:pPr>
        <w:pStyle w:val="null3"/>
        <w:jc w:val="left"/>
      </w:pPr>
      <w:r>
        <w:rPr/>
        <w:t xml:space="preserve"> 联系人： </w:t>
      </w:r>
      <w:r>
        <w:rPr/>
        <w:t>蔡老师</w:t>
      </w:r>
    </w:p>
    <w:p>
      <w:pPr>
        <w:pStyle w:val="null3"/>
        <w:jc w:val="left"/>
      </w:pPr>
      <w:r>
        <w:rPr/>
        <w:t xml:space="preserve"> 联系电话： </w:t>
      </w:r>
      <w:r>
        <w:rPr/>
        <w:t>0592-2665084</w:t>
      </w:r>
    </w:p>
    <w:p>
      <w:pPr>
        <w:pStyle w:val="null3"/>
        <w:ind w:firstLine="480"/>
        <w:jc w:val="left"/>
        <w:outlineLvl w:val="2"/>
      </w:pPr>
      <w:r>
        <w:rPr>
          <w:sz w:val="28"/>
          <w:b/>
        </w:rPr>
        <w:t>12、代理机构</w:t>
      </w:r>
      <w:r>
        <w:rPr>
          <w:sz w:val="28"/>
          <w:b/>
        </w:rPr>
        <w:t>：</w:t>
      </w:r>
      <w:r>
        <w:rPr>
          <w:sz w:val="28"/>
          <w:b/>
        </w:rPr>
        <w:t>厦门万翔招标有限公司</w:t>
      </w:r>
    </w:p>
    <w:p>
      <w:pPr>
        <w:pStyle w:val="null3"/>
        <w:ind w:firstLine="960"/>
        <w:jc w:val="both"/>
      </w:pPr>
      <w:r>
        <w:rPr/>
        <w:t xml:space="preserve"> 地址： </w:t>
      </w:r>
      <w:r>
        <w:rPr/>
        <w:t>中国（福建）自由贸易试验区厦门片区机场北路476号4楼</w:t>
      </w:r>
    </w:p>
    <w:p>
      <w:pPr>
        <w:pStyle w:val="null3"/>
        <w:jc w:val="both"/>
      </w:pPr>
      <w:r>
        <w:rPr/>
        <w:t xml:space="preserve"> 邮编： </w:t>
      </w:r>
      <w:r>
        <w:rPr/>
        <w:t>361000</w:t>
      </w:r>
    </w:p>
    <w:p>
      <w:pPr>
        <w:pStyle w:val="null3"/>
        <w:jc w:val="both"/>
      </w:pPr>
      <w:r>
        <w:rPr/>
        <w:t xml:space="preserve"> 联系人： </w:t>
      </w:r>
      <w:r>
        <w:rPr/>
        <w:t>李先生</w:t>
      </w:r>
    </w:p>
    <w:p>
      <w:pPr>
        <w:pStyle w:val="null3"/>
        <w:jc w:val="both"/>
      </w:pPr>
      <w:r>
        <w:rPr/>
        <w:t xml:space="preserve"> 联系电话： </w:t>
      </w:r>
      <w:r>
        <w:rPr/>
        <w:t>0592-5730289</w:t>
      </w:r>
    </w:p>
    <w:p>
      <w:pPr>
        <w:pStyle w:val="null3"/>
        <w:ind w:firstLine="480"/>
        <w:jc w:val="both"/>
        <w:outlineLvl w:val="2"/>
      </w:pPr>
      <w:r>
        <w:rPr>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厦门万翔招标有限公司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sz w:val="28"/>
          <w:b/>
        </w:rPr>
        <w:t>附2：采购标的一览表</w:t>
      </w:r>
    </w:p>
    <w:p>
      <w:pPr>
        <w:pStyle w:val="null3"/>
        <w:jc w:val="left"/>
      </w:pPr>
      <w:r>
        <w:rPr/>
        <w:t>采购包1：</w:t>
      </w:r>
    </w:p>
    <w:p>
      <w:pPr>
        <w:pStyle w:val="null3"/>
        <w:jc w:val="left"/>
      </w:pPr>
      <w:r>
        <w:rPr/>
        <w:t>采购包预算金额（元）: 1,186,650.00</w:t>
      </w:r>
    </w:p>
    <w:p>
      <w:pPr>
        <w:pStyle w:val="null3"/>
        <w:jc w:val="left"/>
      </w:pPr>
      <w:r>
        <w:rPr/>
        <w:t>采购包最高限价（元）: 1,186,650.00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厦门市2025届高中毕业班二轮复习备考培训</w:t>
            </w:r>
          </w:p>
        </w:tc>
        <w:tc>
          <w:tcPr>
            <w:tcW w:type="dxa" w:w="1187"/>
          </w:tcPr>
          <w:p>
            <w:pPr>
              <w:pStyle w:val="null3"/>
              <w:jc w:val="right"/>
            </w:pPr>
            <w:r>
              <w:rPr/>
              <w:t>1.00</w:t>
            </w:r>
          </w:p>
        </w:tc>
        <w:tc>
          <w:tcPr>
            <w:tcW w:type="dxa" w:w="1187"/>
          </w:tcPr>
          <w:p>
            <w:pPr>
              <w:pStyle w:val="null3"/>
              <w:jc w:val="right"/>
            </w:pPr>
            <w:r>
              <w:rPr/>
              <w:t>1,186,650.00</w:t>
            </w:r>
          </w:p>
        </w:tc>
        <w:tc>
          <w:tcPr>
            <w:tcW w:type="dxa" w:w="1187"/>
          </w:tcPr>
          <w:p>
            <w:pPr>
              <w:pStyle w:val="null3"/>
              <w:jc w:val="left"/>
            </w:pPr>
            <w:r>
              <w:rPr/>
              <w:t>项</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厦门市2025届高中毕业班二轮复习备考培训</w:t>
            </w:r>
          </w:p>
        </w:tc>
        <w:tc>
          <w:tcPr>
            <w:tcW w:type="dxa" w:w="554"/>
          </w:tcPr>
          <w:p>
            <w:pPr>
              <w:pStyle w:val="null3"/>
              <w:jc w:val="left"/>
            </w:pPr>
            <w:r>
              <w:rPr/>
              <w:t>项</w:t>
            </w:r>
          </w:p>
        </w:tc>
        <w:tc>
          <w:tcPr>
            <w:tcW w:type="dxa" w:w="554"/>
          </w:tcPr>
          <w:p>
            <w:pPr>
              <w:pStyle w:val="null3"/>
              <w:jc w:val="left"/>
            </w:pPr>
            <w:r>
              <w:rPr/>
              <w:t>元</w:t>
            </w:r>
          </w:p>
        </w:tc>
        <w:tc>
          <w:tcPr>
            <w:tcW w:type="dxa" w:w="1384"/>
          </w:tcPr>
          <w:p>
            <w:pPr>
              <w:pStyle w:val="null3"/>
              <w:jc w:val="right"/>
            </w:pPr>
            <w:r>
              <w:rPr/>
              <w:t>1,186,650.00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厦门市2025届高中毕业班二轮复习备考培训</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厦门市2025届高中毕业班二轮复习备考培训</w:t>
            </w:r>
          </w:p>
        </w:tc>
        <w:tc>
          <w:tcPr>
            <w:tcW w:type="dxa" w:w="2076"/>
          </w:tcPr>
          <w:p>
            <w:pPr>
              <w:pStyle w:val="null3"/>
              <w:jc w:val="left"/>
            </w:pPr>
            <w:r>
              <w:rPr/>
              <w:t>厦门市2025届高中毕业班二轮复习备考培训</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1,186,650.00</w:t>
            </w:r>
          </w:p>
        </w:tc>
        <w:tc>
          <w:tcPr>
            <w:tcW w:type="dxa" w:w="831"/>
          </w:tcPr>
          <w:p>
            <w:pPr>
              <w:pStyle w:val="null3"/>
              <w:jc w:val="left"/>
            </w:pPr>
            <w:r>
              <w:rPr/>
              <w:t>总价</w:t>
            </w:r>
          </w:p>
        </w:tc>
        <w:tc>
          <w:tcPr>
            <w:tcW w:type="dxa" w:w="1246"/>
          </w:tcPr>
          <w:p>
            <w:pPr>
              <w:pStyle w:val="null3"/>
              <w:jc w:val="left"/>
            </w:pPr>
            <w:r>
              <w:rPr/>
              <w:t>无</w:t>
            </w:r>
          </w:p>
        </w:tc>
      </w:tr>
    </w:tbl>
    <w:p>
      <w:pPr>
        <w:pStyle w:val="null3"/>
      </w:pPr>
      <w:r>
        <w:rPr/>
        <w:t xml:space="preserve"> </w:t>
        <w:br/>
        <w:br w:type="page"/>
      </w:r>
    </w:p>
    <w:p>
      <w:pPr>
        <w:pStyle w:val="null3"/>
        <w:jc w:val="center"/>
        <w:outlineLvl w:val="1"/>
      </w:pPr>
      <w:r>
        <w:rPr>
          <w:sz w:val="36"/>
          <w:b/>
        </w:rPr>
        <w:t>第二章 投标人须知前附表</w:t>
      </w:r>
    </w:p>
    <w:p>
      <w:pPr>
        <w:pStyle w:val="null3"/>
        <w:ind w:firstLine="480"/>
        <w:jc w:val="both"/>
        <w:outlineLvl w:val="2"/>
      </w:pPr>
      <w:r>
        <w:rPr>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采购包1：3名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（1） </w:t>
            </w:r>
            <w:r>
              <w:rPr/>
              <w:t>采购人应在政府采购招投标管理办法规定的时限内确定中标人。</w:t>
            </w:r>
          </w:p>
          <w:p>
            <w:pPr>
              <w:pStyle w:val="null3"/>
              <w:jc w:val="left"/>
            </w:pPr>
            <w:r>
              <w:rPr/>
              <w:t>（2）若出现中标候选人并列情形，则按照下列方式确定中标人：</w:t>
            </w:r>
          </w:p>
          <w:p>
            <w:pPr>
              <w:pStyle w:val="null3"/>
              <w:jc w:val="left"/>
            </w:pPr>
            <w:r>
              <w:rPr/>
              <w:t>①招标文件规定的方式：</w:t>
            </w:r>
          </w:p>
          <w:p>
            <w:pPr>
              <w:pStyle w:val="null3"/>
              <w:jc w:val="left"/>
            </w:pPr>
            <w:r>
              <w:rPr/>
              <w:t>按评审后的综合得分由高到低顺序排列；综合得分相同的，按投标报价由低到高顺序排列；综合得分且投标报价相同的，按技术得分由高到低顺序排列；若综合得分、投标报价及技术得分均相同，则由评标委员会进行投票表决推荐。</w:t>
            </w:r>
          </w:p>
          <w:p>
            <w:pPr>
              <w:pStyle w:val="null3"/>
              <w:jc w:val="left"/>
            </w:pPr>
            <w:r>
              <w:rPr/>
              <w:t>②若本款第①点规定方式为“无”，则按照下列方式确定：</w:t>
            </w:r>
          </w:p>
          <w:p>
            <w:pPr>
              <w:pStyle w:val="null3"/>
              <w:jc w:val="left"/>
            </w:pPr>
            <w:r>
              <w:rPr/>
              <w:t>无</w:t>
            </w:r>
          </w:p>
          <w:p>
            <w:pPr>
              <w:pStyle w:val="null3"/>
              <w:jc w:val="left"/>
            </w:pPr>
            <w:r>
              <w:rPr/>
              <w:t>③若本款第①、②点规定方式均为“无”，则按照下列方式确定：随机抽取。</w:t>
            </w:r>
          </w:p>
          <w:p>
            <w:pPr>
              <w:pStyle w:val="null3"/>
              <w:jc w:val="left"/>
            </w:pPr>
            <w:r>
              <w:rPr/>
              <w:t>（3）本项目确定的中标人家数：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（1）潜在投标人可在质疑时效期间内对招标文件以书面形式提出质疑。</w:t>
            </w:r>
          </w:p>
          <w:p>
            <w:pPr>
              <w:pStyle w:val="null3"/>
              <w:jc w:val="left"/>
            </w:pPr>
            <w:r>
              <w:rPr/>
              <w:t xml:space="preserve">（2）质疑时效期间：应在依法获取招标文件之日起7个工作日内向 </w:t>
            </w:r>
            <w:r>
              <w:rPr/>
              <w:t>厦门万翔招标有限公司</w:t>
            </w:r>
            <w:r>
              <w:rPr/>
              <w:t xml:space="preserve"> 提出，依法获取招标文件的时间以福建省政府采购网上公开信息系统记载的为准。</w:t>
            </w:r>
          </w:p>
          <w:p>
            <w:pPr>
              <w:pStyle w:val="null3"/>
              <w:jc w:val="left"/>
            </w:pPr>
            <w:r>
              <w:rPr/>
              <w:t>※除上述规定外，对招标文件提出的质疑还应符合招标文件第三章第15.1条的有关规定。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厦门市财政局</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中标金额(万元)费率；[0―100]1.5%；（100－500]0.8%；注：1、代理服务费的收取按差额定率累进法计算,由中标人支付。2、中标人以转账或汇款方式提交。3、中标人为中小企业的，其代理服务费按照上述服务收费标准下浮10%进行支付。4、账户信息：开户名：厦门万翔招标有限公司。开户行：建行厦门自贸试验区航空港支行。账号：35101570201052504219。5、代理服务费事宜联系人：陈小姐0592-5703367。6、因供应商自身原因导致最终无法承接项目的，代理服务费不予退还。</w:t>
            </w:r>
          </w:p>
          <w:p>
            <w:pPr>
              <w:pStyle w:val="null3"/>
              <w:jc w:val="left"/>
            </w:pPr>
            <w:r>
              <w:rPr/>
              <w:t xml:space="preserve"> (2)其他：</w:t>
            </w:r>
          </w:p>
          <w:p>
            <w:pPr>
              <w:pStyle w:val="null3"/>
              <w:jc w:val="left"/>
            </w:pPr>
            <w:r>
              <w:rPr/>
              <w:t>无</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（1）登录福建省政府采购网厦门分网http:// 120.41.36.6/ → 【办事指南】→ 下载【供 应商操作手册】，按手册指引操作。（2）请投标人及时提前办理CA。（3）不同投标人用同一台电脑或同一IP上传投标文件或同一账户缴交投标保证金的，经系统识别确认情况属实将判定为串通投标。（4）全文中带有“★”的条款为关键性条款，对这些关键性条款的任何负偏离或不满足将导致该投标作无效投标处理。（5）若招标文件第五章所述内容与其它部分的条款发生理解冲突，则以第五章所述内容为准；如招标文件发生变更，则相关条款的解释以更改通知为准。（6）质疑函要求 供应商提出质疑应当提交质疑函和必要的证明材料。质疑函应当包括下列内容： (一)供应商的姓名或者名称名 称、地址、邮编、联系人及联系电话; (二)质疑项目的名称名 称、编号; (三)具体、明确的质疑事项和与质疑事项相关的请求; (四)事实依据; (五)必要的法律依据; (六)提出质疑的日期。 供应商为自然人的，应当由本人签字;供应商为法人或者其他组织的，应当由法定代表人、主要负责人，或者其授权代表签字或者盖章，并加盖公章。接收质疑：黄经理，负责接收质疑，电话0592-2298125，传真0592-5706660-6969，邮箱hcq@iport.com.cn，通讯地址：厦门市湖里区机场北路476号4楼。质疑函应采用下列方式之一提交： （1）邮件形式：将质疑函原件扫描发送至邮箱：邮箱hcq@iport.com.cn收到质疑函的时间以邮箱显示的收到时间为准。质疑答复过程中需要核对原件的，质疑人应提供原件核查，否则相关资料可能不被认可。（2）快递形式：将质疑函原件快递至厦门市湖里区机场北路476号4楼，收件人：电话0592-2298125，传真0592-5706660-6969。收到质疑函的时间以快递签收时间为准。（3）现场送达：将质疑函原件现场送至厦门市湖里区机场北路476号4楼经办人手中。收到质疑函的时间以前台签收时间为准。 注：提交质疑函须附上系统下载文件登记截图，质疑函须符合第三章第15条质疑的要求。 （7）关于虚假投标的风险提示。《政府采购法》第七十七条规定：“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中标的违法行为的执法力度。相关行政处罚案件，供应商可登陆中国政府采购网的“政府采购严重违法失信行为记录名单”查询，望引以为戒。　　</w:t>
            </w:r>
          </w:p>
        </w:tc>
      </w:tr>
    </w:tbl>
    <w:p>
      <w:pPr>
        <w:pStyle w:val="null3"/>
      </w:pPr>
      <w:r>
        <w:rPr/>
        <w:t xml:space="preserve"> </w:t>
        <w:br/>
        <w:br w:type="page"/>
      </w:r>
    </w:p>
    <w:p>
      <w:pPr>
        <w:pStyle w:val="null3"/>
        <w:jc w:val="center"/>
        <w:outlineLvl w:val="1"/>
      </w:pPr>
      <w:r>
        <w:rPr>
          <w:sz w:val="36"/>
          <w:b/>
        </w:rPr>
        <w:t>第三章 投标人须知</w:t>
      </w:r>
    </w:p>
    <w:p>
      <w:pPr>
        <w:pStyle w:val="null3"/>
        <w:ind w:firstLine="480"/>
        <w:jc w:val="both"/>
        <w:outlineLvl w:val="2"/>
      </w:pPr>
      <w:r>
        <w:rPr>
          <w:sz w:val="28"/>
          <w:b/>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sz w:val="28"/>
          <w:b/>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sz w:val="28"/>
          <w:b/>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厦门万翔招标有限公司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厦门万翔招标有限公司</w:t>
      </w:r>
      <w:r>
        <w:rPr/>
        <w:t xml:space="preserve"> 将在投标截止时间至少15个日历日前，在招标文件载明的指定媒体以更正公告的形式发布澄清或修改的内容。不足15个日历日的， </w:t>
      </w:r>
      <w:r>
        <w:rPr/>
        <w:t>厦门万翔招标有限公司</w:t>
      </w:r>
      <w:r>
        <w:rPr/>
        <w:t xml:space="preserve"> 将顺延投标截止时间及开标时间， </w:t>
      </w:r>
      <w:r>
        <w:rPr/>
        <w:t>厦门万翔招标有限公司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厦门万翔招标有限公司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厦门万翔招标有限公司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厦门万翔招标有限公司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厦门万翔招标有限公司</w:t>
      </w:r>
      <w:r>
        <w:rPr/>
        <w:t xml:space="preserve"> 可终止招标并发布终止公告。</w:t>
      </w:r>
    </w:p>
    <w:p>
      <w:pPr>
        <w:pStyle w:val="null3"/>
        <w:ind w:firstLine="480"/>
        <w:jc w:val="both"/>
      </w:pPr>
      <w:r>
        <w:rPr/>
        <w:t xml:space="preserve">8.2终止公告作为 </w:t>
      </w:r>
      <w:r>
        <w:rPr/>
        <w:t>厦门万翔招标有限公司</w:t>
      </w:r>
      <w:r>
        <w:rPr/>
        <w:t xml:space="preserve"> 通知所有潜在投标人的书面形式。</w:t>
      </w:r>
    </w:p>
    <w:p>
      <w:pPr>
        <w:pStyle w:val="null3"/>
        <w:ind w:firstLine="480"/>
        <w:jc w:val="both"/>
        <w:outlineLvl w:val="2"/>
      </w:pPr>
      <w:r>
        <w:rPr>
          <w:sz w:val="28"/>
          <w:b/>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①开标（报价）一览表</w:t>
      </w:r>
    </w:p>
    <w:p>
      <w:pPr>
        <w:pStyle w:val="null3"/>
        <w:ind w:firstLine="480"/>
        <w:jc w:val="both"/>
      </w:pPr>
      <w:r>
        <w:rPr/>
        <w:t>②投标（响应）报价明细表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厦门万翔招标有限公司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厦门万翔招标有限公司</w:t>
      </w:r>
      <w:r>
        <w:rPr/>
        <w:t xml:space="preserve"> 可于投标有效期届满之前书面要求投标人延长投标有效期，投标人应在 </w:t>
      </w:r>
      <w:r>
        <w:rPr/>
        <w:t>厦门万翔招标有限公司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厦门万翔招标有限公司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厦门万翔招标有限公司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厦门万翔招标有限公司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sz w:val="28"/>
          <w:b/>
        </w:rPr>
        <w:t>五、开标</w:t>
      </w:r>
    </w:p>
    <w:p>
      <w:pPr>
        <w:pStyle w:val="null3"/>
        <w:ind w:firstLine="480"/>
        <w:jc w:val="both"/>
      </w:pPr>
      <w:r>
        <w:rPr/>
        <w:t>11、开标</w:t>
      </w:r>
    </w:p>
    <w:p>
      <w:pPr>
        <w:pStyle w:val="null3"/>
        <w:ind w:firstLine="480"/>
        <w:jc w:val="both"/>
      </w:pPr>
      <w:r>
        <w:rPr/>
        <w:t xml:space="preserve">11.1 </w:t>
      </w:r>
      <w:r>
        <w:rPr/>
        <w:t>厦门万翔招标有限公司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厦门万翔招标有限公司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厦门万翔招标有限公司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厦门万翔招标有限公司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sz w:val="28"/>
          <w:b/>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厦门万翔招标有限公司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厦门万翔招标有限公司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sz w:val="28"/>
          <w:b/>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厦门万翔招标有限公司</w:t>
      </w:r>
      <w:r>
        <w:rPr/>
        <w:t xml:space="preserve"> 提出询问， </w:t>
      </w:r>
      <w:r>
        <w:rPr/>
        <w:t>厦门万翔招标有限公司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厦门万翔招标有限公司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sz w:val="28"/>
          <w:b/>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sz w:val="28"/>
          <w:b/>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sz w:val="28"/>
          <w:b/>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sz w:val="36"/>
          <w:b/>
        </w:rPr>
        <w:t>第四章 资格审查与评标</w:t>
      </w:r>
    </w:p>
    <w:p>
      <w:pPr>
        <w:pStyle w:val="null3"/>
        <w:jc w:val="both"/>
        <w:outlineLvl w:val="2"/>
      </w:pPr>
      <w:r>
        <w:rPr>
          <w:sz w:val="28"/>
          <w:b/>
        </w:rPr>
        <w:t>一、资格审查</w:t>
      </w:r>
    </w:p>
    <w:p>
      <w:pPr>
        <w:pStyle w:val="null3"/>
        <w:ind w:firstLine="480"/>
        <w:jc w:val="both"/>
      </w:pPr>
      <w:r>
        <w:rPr/>
        <w:t xml:space="preserve">1、开标结束后，由 </w:t>
      </w:r>
      <w:r>
        <w:rPr/>
        <w:t>厦门万翔招标有限公司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由厦门万翔招标有限公司派出的工作人员至少1人，</w:t>
      </w:r>
      <w:r>
        <w:rPr/>
        <w:t>其余1人可为采购人代表或厦门万翔招标有限公司的工作人员。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left"/>
      </w:pPr>
      <w:r>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t>④.其他资格证明文件：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招标文件若有与此条款不一致的，以此为准）</w:t>
            </w:r>
          </w:p>
        </w:tc>
      </w:tr>
      <w:tr>
        <w:tc>
          <w:tcPr>
            <w:tcW w:type="dxa" w:w="3692"/>
          </w:tcPr>
          <w:p>
            <w:pPr>
              <w:pStyle w:val="null3"/>
              <w:jc w:val="left"/>
            </w:pPr>
            <w:r>
              <w:rPr/>
              <w:t>信用记录要求（招标文件其他地方要求与本条款要求不一致的，以本条款要求为准）</w:t>
            </w:r>
          </w:p>
        </w:tc>
        <w:tc>
          <w:tcPr>
            <w:tcW w:type="dxa" w:w="4614"/>
          </w:tcPr>
          <w:p>
            <w:pPr>
              <w:pStyle w:val="null3"/>
              <w:jc w:val="left"/>
            </w:pPr>
            <w:r>
              <w:rPr/>
              <w:t>1、信用信息查询渠道：资格审查小组通过“信用中国”网站（www.creditchina.gov.cn）、中国政府采购网（www.ccgp.gov.cn）、“信用厦门”网站（credit.xm.gov.cn）查询所有供应商的信用信息。 2、截止时点：查询供应商截止开标当天前三年内的信用信息。 3、查询记录和证据留存方式：资格审查小组将查询结果网页打印后随评标报告一并存档。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 5、供应商无需提供信用信息查询结果。若供应商自行提供查询结果的，仍以资格审查人员查询结果为准。</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资格审查不合格项：无</w:t>
      </w:r>
    </w:p>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厦门万翔招标有限公司</w:t>
      </w:r>
      <w:r>
        <w:rPr/>
        <w:t xml:space="preserve"> 统一对外发布。</w:t>
      </w:r>
    </w:p>
    <w:p>
      <w:pPr>
        <w:pStyle w:val="null3"/>
        <w:ind w:firstLine="480"/>
        <w:jc w:val="both"/>
      </w:pPr>
      <w:r>
        <w:rPr/>
        <w:t xml:space="preserve">3、资格审查合格的投标人不足三家的，不进行评标。同时，本次采购活动结束， </w:t>
      </w:r>
      <w:r>
        <w:rPr/>
        <w:t>厦门万翔招标有限公司</w:t>
      </w:r>
      <w:r>
        <w:rPr/>
        <w:t xml:space="preserve"> 将依法组织后续采购活动（包括但不限于：重新招标、采用其他方式采购等）。</w:t>
      </w:r>
    </w:p>
    <w:p>
      <w:pPr>
        <w:pStyle w:val="null3"/>
        <w:jc w:val="both"/>
        <w:outlineLvl w:val="2"/>
      </w:pPr>
      <w:r>
        <w:rPr>
          <w:sz w:val="28"/>
          <w:b/>
        </w:rPr>
        <w:t>二、评标</w:t>
      </w:r>
    </w:p>
    <w:p>
      <w:pPr>
        <w:pStyle w:val="null3"/>
        <w:ind w:firstLine="480"/>
        <w:jc w:val="both"/>
      </w:pPr>
      <w:r>
        <w:rPr/>
        <w:t xml:space="preserve">4、资格审查结束后，由 </w:t>
      </w:r>
      <w:r>
        <w:rPr/>
        <w:t>厦门万翔招标有限公司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厦门万翔招标有限公司</w:t>
      </w:r>
      <w:r>
        <w:rPr/>
        <w:t xml:space="preserve"> 统一对外发布。</w:t>
      </w:r>
    </w:p>
    <w:p>
      <w:pPr>
        <w:pStyle w:val="null3"/>
        <w:ind w:firstLine="480"/>
        <w:jc w:val="both"/>
      </w:pPr>
      <w:r>
        <w:rPr/>
        <w:t xml:space="preserve">②对 </w:t>
      </w:r>
      <w:r>
        <w:rPr/>
        <w:t>厦门万翔招标有限公司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r>
        <w:tc>
          <w:tcPr>
            <w:tcW w:type="dxa" w:w="1038"/>
          </w:tcPr>
          <w:p>
            <w:pPr>
              <w:pStyle w:val="null3"/>
              <w:jc w:val="left"/>
            </w:pPr>
            <w:r>
              <w:rPr/>
              <w:t>4</w:t>
            </w:r>
          </w:p>
        </w:tc>
        <w:tc>
          <w:tcPr>
            <w:tcW w:type="dxa" w:w="3115"/>
          </w:tcPr>
          <w:p>
            <w:pPr>
              <w:pStyle w:val="null3"/>
              <w:jc w:val="left"/>
            </w:pPr>
            <w:r>
              <w:rPr/>
              <w:t>投标报价要求</w:t>
            </w:r>
          </w:p>
        </w:tc>
        <w:tc>
          <w:tcPr>
            <w:tcW w:type="dxa" w:w="4153"/>
          </w:tcPr>
          <w:p>
            <w:pPr>
              <w:pStyle w:val="null3"/>
              <w:jc w:val="left"/>
            </w:pPr>
            <w:r>
              <w:rPr/>
              <w:t>★8.3本项目采购预算为投标报价的最高限价，投标报价超过采购预算的作无效投标处理。</w:t>
            </w:r>
          </w:p>
        </w:tc>
      </w:tr>
    </w:tbl>
    <w:p>
      <w:pPr>
        <w:pStyle w:val="null3"/>
        <w:ind w:firstLine="480"/>
        <w:jc w:val="both"/>
      </w:pPr>
      <w:r>
        <w:rPr/>
        <w:t>②本项目规定的其他情形：</w:t>
      </w:r>
    </w:p>
    <w:p>
      <w:pPr>
        <w:pStyle w:val="null3"/>
        <w:jc w:val="left"/>
      </w:pPr>
      <w:r>
        <w:rPr/>
        <w:t>采购包1：</w:t>
      </w:r>
    </w:p>
    <w:p>
      <w:pPr>
        <w:pStyle w:val="null3"/>
        <w:jc w:val="left"/>
      </w:pPr>
      <w:r>
        <w:rPr/>
        <w:t>技术符合性：无</w:t>
      </w:r>
    </w:p>
    <w:p>
      <w:pPr>
        <w:pStyle w:val="null3"/>
        <w:jc w:val="left"/>
      </w:pPr>
      <w:r>
        <w:rPr/>
        <w:t>商务符合性：无</w:t>
      </w:r>
    </w:p>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①开标（报价）一览表内容与电子投标文件中相应内容不一致的，以开标（报价）一览表为准；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③单价金额小数点或百分比有明显错位的，以开标（报价）一览表的总价为准，并修改单价；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厦门万翔招标有限公司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价格项（F1×A1）满分为15.0000分</w:t>
      </w:r>
    </w:p>
    <w:p>
      <w:pPr>
        <w:pStyle w:val="null3"/>
        <w:jc w:val="both"/>
      </w:pPr>
      <w:r>
        <w:rPr/>
        <w:t>F1指价格项评审因素得分＝（评标基准价/投标报价）×15（注：满足招标文件要求且投标价格最低的投标报价为评标基准价。）最低报价不是中标的唯一依据。注：因本采购包专门面向中小企业采购，本采购包不再执行小微企业价格评审优惠的扶持政策。</w:t>
      </w:r>
    </w:p>
    <w:p>
      <w:pPr>
        <w:pStyle w:val="null3"/>
        <w:jc w:val="both"/>
      </w:pPr>
      <w:r>
        <w:rPr/>
        <w:t>技术项（F2×A2）满分为65.0000分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1-1</w:t>
            </w:r>
          </w:p>
        </w:tc>
        <w:tc>
          <w:tcPr>
            <w:tcW w:type="dxa" w:w="831"/>
          </w:tcPr>
          <w:p>
            <w:pPr>
              <w:pStyle w:val="null3"/>
              <w:jc w:val="right"/>
            </w:pPr>
            <w:r>
              <w:rPr/>
              <w:t>3.0000</w:t>
            </w:r>
          </w:p>
        </w:tc>
        <w:tc>
          <w:tcPr>
            <w:tcW w:type="dxa" w:w="4153"/>
          </w:tcPr>
          <w:p>
            <w:pPr>
              <w:pStyle w:val="null3"/>
              <w:jc w:val="both"/>
            </w:pPr>
            <w:r>
              <w:rPr/>
              <w:t>根据供应商针对本项目提供的培训方案整体内容进行评价： ①有提供方案且基本符合项目需求，有提出服务流程、服务方式方法的的得2分； ②在前项①的基础上，服务方案较为简单，得2.3分； ③在前项①的基础上，服务方案具有针对性，有根据项目需求情况提出详细、具体、明确的服务流程、服务方式方法的，得3分； ④未提供方案或者方案不可行或不符合项目需求的不得分。</w:t>
            </w:r>
          </w:p>
        </w:tc>
      </w:tr>
      <w:tr>
        <w:tc>
          <w:tcPr>
            <w:tcW w:type="dxa" w:w="3322"/>
          </w:tcPr>
          <w:p>
            <w:pPr>
              <w:pStyle w:val="null3"/>
              <w:jc w:val="both"/>
            </w:pPr>
            <w:r>
              <w:rPr/>
              <w:t>1-2</w:t>
            </w:r>
          </w:p>
        </w:tc>
        <w:tc>
          <w:tcPr>
            <w:tcW w:type="dxa" w:w="831"/>
          </w:tcPr>
          <w:p>
            <w:pPr>
              <w:pStyle w:val="null3"/>
              <w:jc w:val="right"/>
            </w:pPr>
            <w:r>
              <w:rPr/>
              <w:t>3.0000</w:t>
            </w:r>
          </w:p>
        </w:tc>
        <w:tc>
          <w:tcPr>
            <w:tcW w:type="dxa" w:w="4153"/>
          </w:tcPr>
          <w:p>
            <w:pPr>
              <w:pStyle w:val="null3"/>
              <w:jc w:val="both"/>
            </w:pPr>
            <w:r>
              <w:rPr/>
              <w:t>根据供应商针对本项目提供的培训精准度进行评价： ①培训定位较精准，紧扣培训目标得2.5分； ②在前项①的基础上，课程设置较具体，课程资源较具体，方案设计对高中教学具有一定针对性的得2.8分； ③培训定位精准，紧扣培训目标、课程设置详细、具体，课程资源详细、具体，方案设计对高中教学具有针对性强的得3分； ④未提供或不符合上述要求的不得分。</w:t>
            </w:r>
          </w:p>
        </w:tc>
      </w:tr>
      <w:tr>
        <w:tc>
          <w:tcPr>
            <w:tcW w:type="dxa" w:w="3322"/>
          </w:tcPr>
          <w:p>
            <w:pPr>
              <w:pStyle w:val="null3"/>
              <w:jc w:val="both"/>
            </w:pPr>
            <w:r>
              <w:rPr/>
              <w:t>1-3</w:t>
            </w:r>
          </w:p>
        </w:tc>
        <w:tc>
          <w:tcPr>
            <w:tcW w:type="dxa" w:w="831"/>
          </w:tcPr>
          <w:p>
            <w:pPr>
              <w:pStyle w:val="null3"/>
              <w:jc w:val="right"/>
            </w:pPr>
            <w:r>
              <w:rPr/>
              <w:t>3.0000</w:t>
            </w:r>
          </w:p>
        </w:tc>
        <w:tc>
          <w:tcPr>
            <w:tcW w:type="dxa" w:w="4153"/>
          </w:tcPr>
          <w:p>
            <w:pPr>
              <w:pStyle w:val="null3"/>
              <w:jc w:val="both"/>
            </w:pPr>
            <w:r>
              <w:rPr/>
              <w:t>根据供应商针对本项目提供的培训课程进行评价： ①有提供课程内容、且基本符合项目需求的得2.7分； ②在前项①的基础上，方案较简单、课程内容较具体、明确、有一定针对性和文字阐述的得2.8分； ③在满足①的基础上，培训课程够针对新高考背景下的高考命题趋势与命题特点进行分析，培训课程能够针对2023年福建省高考试卷进行分析，有提供详细、具体文字阐述的得3分。 ④未提供方案或者方案不可行或不符合项目需求的不得分。</w:t>
            </w:r>
          </w:p>
        </w:tc>
      </w:tr>
      <w:tr>
        <w:tc>
          <w:tcPr>
            <w:tcW w:type="dxa" w:w="3322"/>
          </w:tcPr>
          <w:p>
            <w:pPr>
              <w:pStyle w:val="null3"/>
              <w:jc w:val="both"/>
            </w:pPr>
            <w:r>
              <w:rPr/>
              <w:t>1-4</w:t>
            </w:r>
          </w:p>
        </w:tc>
        <w:tc>
          <w:tcPr>
            <w:tcW w:type="dxa" w:w="831"/>
          </w:tcPr>
          <w:p>
            <w:pPr>
              <w:pStyle w:val="null3"/>
              <w:jc w:val="right"/>
            </w:pPr>
            <w:r>
              <w:rPr/>
              <w:t>1.0000</w:t>
            </w:r>
          </w:p>
        </w:tc>
        <w:tc>
          <w:tcPr>
            <w:tcW w:type="dxa" w:w="4153"/>
          </w:tcPr>
          <w:p>
            <w:pPr>
              <w:pStyle w:val="null3"/>
              <w:jc w:val="both"/>
            </w:pPr>
            <w:r>
              <w:rPr/>
              <w:t>根据投标人针对本项目提供的培训课程区分情况进行评价： ①培训课程明确区分学科不同培训课程的得1分；②未提供或没有区分的不得分。 注：投标人须提供承诺函（格式自拟）或相关证明材料并加盖公章（或电子公章），未提供或不符合上述要求的不得分。</w:t>
            </w:r>
          </w:p>
        </w:tc>
      </w:tr>
      <w:tr>
        <w:tc>
          <w:tcPr>
            <w:tcW w:type="dxa" w:w="3322"/>
          </w:tcPr>
          <w:p>
            <w:pPr>
              <w:pStyle w:val="null3"/>
              <w:jc w:val="both"/>
            </w:pPr>
            <w:r>
              <w:rPr/>
              <w:t>1-5</w:t>
            </w:r>
          </w:p>
        </w:tc>
        <w:tc>
          <w:tcPr>
            <w:tcW w:type="dxa" w:w="831"/>
          </w:tcPr>
          <w:p>
            <w:pPr>
              <w:pStyle w:val="null3"/>
              <w:jc w:val="right"/>
            </w:pPr>
            <w:r>
              <w:rPr/>
              <w:t>1.0000</w:t>
            </w:r>
          </w:p>
        </w:tc>
        <w:tc>
          <w:tcPr>
            <w:tcW w:type="dxa" w:w="4153"/>
          </w:tcPr>
          <w:p>
            <w:pPr>
              <w:pStyle w:val="null3"/>
              <w:jc w:val="both"/>
            </w:pPr>
            <w:r>
              <w:rPr/>
              <w:t>根据投标人针对本项目提供的培训方案的课时数进行评价： 培训课程需涵盖9个学科，各个学科面授的课时不得少于24课时。完全满足以上要求的得1分。 注：投标人须提供承诺函（格式自拟）并加盖公章（或电子公章），未提供或不符合上述要求的不得分。</w:t>
            </w:r>
          </w:p>
        </w:tc>
      </w:tr>
      <w:tr>
        <w:tc>
          <w:tcPr>
            <w:tcW w:type="dxa" w:w="3322"/>
          </w:tcPr>
          <w:p>
            <w:pPr>
              <w:pStyle w:val="null3"/>
              <w:jc w:val="both"/>
            </w:pPr>
            <w:r>
              <w:rPr/>
              <w:t>1-6</w:t>
            </w:r>
          </w:p>
        </w:tc>
        <w:tc>
          <w:tcPr>
            <w:tcW w:type="dxa" w:w="831"/>
          </w:tcPr>
          <w:p>
            <w:pPr>
              <w:pStyle w:val="null3"/>
              <w:jc w:val="right"/>
            </w:pPr>
            <w:r>
              <w:rPr/>
              <w:t>3.0000</w:t>
            </w:r>
          </w:p>
        </w:tc>
        <w:tc>
          <w:tcPr>
            <w:tcW w:type="dxa" w:w="4153"/>
          </w:tcPr>
          <w:p>
            <w:pPr>
              <w:pStyle w:val="null3"/>
              <w:jc w:val="both"/>
            </w:pPr>
            <w:r>
              <w:rPr/>
              <w:t>根据投标人针对本项目提供的培训管理制度进行评价： ①有提供管理制度且基本符合项目需求的得2.7分； ②在前项①的基础上，管理制度详细、具体、明确的得2.8分； ③在满足②的基础上，管理制度中内设部门健全，具有针对性的得3分； ④未提供管理制度或者管理制度不可行的不得分。</w:t>
            </w:r>
          </w:p>
        </w:tc>
      </w:tr>
      <w:tr>
        <w:tc>
          <w:tcPr>
            <w:tcW w:type="dxa" w:w="3322"/>
          </w:tcPr>
          <w:p>
            <w:pPr>
              <w:pStyle w:val="null3"/>
              <w:jc w:val="both"/>
            </w:pPr>
            <w:r>
              <w:rPr/>
              <w:t>1-7</w:t>
            </w:r>
          </w:p>
        </w:tc>
        <w:tc>
          <w:tcPr>
            <w:tcW w:type="dxa" w:w="831"/>
          </w:tcPr>
          <w:p>
            <w:pPr>
              <w:pStyle w:val="null3"/>
              <w:jc w:val="right"/>
            </w:pPr>
            <w:r>
              <w:rPr/>
              <w:t>3.0000</w:t>
            </w:r>
          </w:p>
        </w:tc>
        <w:tc>
          <w:tcPr>
            <w:tcW w:type="dxa" w:w="4153"/>
          </w:tcPr>
          <w:p>
            <w:pPr>
              <w:pStyle w:val="null3"/>
              <w:jc w:val="both"/>
            </w:pPr>
            <w:r>
              <w:rPr/>
              <w:t>根据投标人针对本项目提供的考勤管理制度进行评价： ①有提供考勤制度且基本符合项目需求的得2.7分 ②在前项①的基础上考勤制度详细、具体、明确的得2.8分； ③在满足①②的基础上，考勤制度具有针对性的得3分； ④未提供制度或者制度不可行的不得分。</w:t>
            </w:r>
          </w:p>
        </w:tc>
      </w:tr>
      <w:tr>
        <w:tc>
          <w:tcPr>
            <w:tcW w:type="dxa" w:w="3322"/>
          </w:tcPr>
          <w:p>
            <w:pPr>
              <w:pStyle w:val="null3"/>
              <w:jc w:val="both"/>
            </w:pPr>
            <w:r>
              <w:rPr/>
              <w:t>1-8</w:t>
            </w:r>
          </w:p>
        </w:tc>
        <w:tc>
          <w:tcPr>
            <w:tcW w:type="dxa" w:w="831"/>
          </w:tcPr>
          <w:p>
            <w:pPr>
              <w:pStyle w:val="null3"/>
              <w:jc w:val="right"/>
            </w:pPr>
            <w:r>
              <w:rPr/>
              <w:t>3.0000</w:t>
            </w:r>
          </w:p>
        </w:tc>
        <w:tc>
          <w:tcPr>
            <w:tcW w:type="dxa" w:w="4153"/>
          </w:tcPr>
          <w:p>
            <w:pPr>
              <w:pStyle w:val="null3"/>
              <w:jc w:val="both"/>
            </w:pPr>
            <w:r>
              <w:rPr/>
              <w:t>根据投标人针对本项目提供的对优秀学员的奖励措施进行评价： ①有提供奖励措施且基本符合项目需求的得2.7分； ②在前项①的基础上，奖励措施具体、详细，评优措施明确的得2.8分； ③在满足②的基础上，奖励措施能够激励教师积极学习，具有针对性的得3分； ④未提供奖励措施或奖励措施不可行的不得分。</w:t>
            </w:r>
          </w:p>
        </w:tc>
      </w:tr>
      <w:tr>
        <w:tc>
          <w:tcPr>
            <w:tcW w:type="dxa" w:w="3322"/>
          </w:tcPr>
          <w:p>
            <w:pPr>
              <w:pStyle w:val="null3"/>
              <w:jc w:val="both"/>
            </w:pPr>
            <w:r>
              <w:rPr/>
              <w:t>1-9</w:t>
            </w:r>
          </w:p>
        </w:tc>
        <w:tc>
          <w:tcPr>
            <w:tcW w:type="dxa" w:w="831"/>
          </w:tcPr>
          <w:p>
            <w:pPr>
              <w:pStyle w:val="null3"/>
              <w:jc w:val="right"/>
            </w:pPr>
            <w:r>
              <w:rPr/>
              <w:t>3.0000</w:t>
            </w:r>
          </w:p>
        </w:tc>
        <w:tc>
          <w:tcPr>
            <w:tcW w:type="dxa" w:w="4153"/>
          </w:tcPr>
          <w:p>
            <w:pPr>
              <w:pStyle w:val="null3"/>
              <w:jc w:val="both"/>
            </w:pPr>
            <w:r>
              <w:rPr/>
              <w:t>根据投标人提供的培训安全应急处理预案进行评价： ①有提供预案的得2.7分； ②在前项①的基础上，预案详细、具体、明确的得2.8分 ③在满足②的基础上，预案措施符合应急处理要求，具有针对性的得3分； ④未提供应急处理预案或预案不可行的不得分。</w:t>
            </w:r>
          </w:p>
        </w:tc>
      </w:tr>
      <w:tr>
        <w:tc>
          <w:tcPr>
            <w:tcW w:type="dxa" w:w="3322"/>
          </w:tcPr>
          <w:p>
            <w:pPr>
              <w:pStyle w:val="null3"/>
              <w:jc w:val="both"/>
            </w:pPr>
            <w:r>
              <w:rPr/>
              <w:t>1-10</w:t>
            </w:r>
          </w:p>
        </w:tc>
        <w:tc>
          <w:tcPr>
            <w:tcW w:type="dxa" w:w="831"/>
          </w:tcPr>
          <w:p>
            <w:pPr>
              <w:pStyle w:val="null3"/>
              <w:jc w:val="right"/>
            </w:pPr>
            <w:r>
              <w:rPr/>
              <w:t>2.0000</w:t>
            </w:r>
          </w:p>
        </w:tc>
        <w:tc>
          <w:tcPr>
            <w:tcW w:type="dxa" w:w="4153"/>
          </w:tcPr>
          <w:p>
            <w:pPr>
              <w:pStyle w:val="null3"/>
              <w:jc w:val="both"/>
            </w:pPr>
            <w:r>
              <w:rPr/>
              <w:t>根据投标人拟为本项目配备的管理团队的团队结构情况进行评价： ①有提供管理团队架构图并注明各自管理职责的得1分； ②在前项①的基础上，职责分明、各项事务均有专人负责的得2分； ③提供团队结构情况的不得分。</w:t>
            </w:r>
          </w:p>
        </w:tc>
      </w:tr>
      <w:tr>
        <w:tc>
          <w:tcPr>
            <w:tcW w:type="dxa" w:w="3322"/>
          </w:tcPr>
          <w:p>
            <w:pPr>
              <w:pStyle w:val="null3"/>
              <w:jc w:val="both"/>
            </w:pPr>
            <w:r>
              <w:rPr/>
              <w:t>1-11</w:t>
            </w:r>
          </w:p>
        </w:tc>
        <w:tc>
          <w:tcPr>
            <w:tcW w:type="dxa" w:w="831"/>
          </w:tcPr>
          <w:p>
            <w:pPr>
              <w:pStyle w:val="null3"/>
              <w:jc w:val="right"/>
            </w:pPr>
            <w:r>
              <w:rPr/>
              <w:t>1.0000</w:t>
            </w:r>
          </w:p>
        </w:tc>
        <w:tc>
          <w:tcPr>
            <w:tcW w:type="dxa" w:w="4153"/>
          </w:tcPr>
          <w:p>
            <w:pPr>
              <w:pStyle w:val="null3"/>
              <w:jc w:val="both"/>
            </w:pPr>
            <w:r>
              <w:rPr/>
              <w:t>投标人承诺：“集中培训期间落实请假考勤制度，确保学员每半天签到一次，并在培训结束后将其提供给采购人。” 完全满足以上要求的得1分。 注：投标人须提供承诺函（格式自拟）并加盖公章，未提供或不符合上述要求的不得分。</w:t>
            </w:r>
          </w:p>
        </w:tc>
      </w:tr>
      <w:tr>
        <w:tc>
          <w:tcPr>
            <w:tcW w:type="dxa" w:w="3322"/>
          </w:tcPr>
          <w:p>
            <w:pPr>
              <w:pStyle w:val="null3"/>
              <w:jc w:val="both"/>
            </w:pPr>
            <w:r>
              <w:rPr/>
              <w:t>1-12</w:t>
            </w:r>
          </w:p>
        </w:tc>
        <w:tc>
          <w:tcPr>
            <w:tcW w:type="dxa" w:w="831"/>
          </w:tcPr>
          <w:p>
            <w:pPr>
              <w:pStyle w:val="null3"/>
              <w:jc w:val="right"/>
            </w:pPr>
            <w:r>
              <w:rPr/>
              <w:t>3.0000</w:t>
            </w:r>
          </w:p>
        </w:tc>
        <w:tc>
          <w:tcPr>
            <w:tcW w:type="dxa" w:w="4153"/>
          </w:tcPr>
          <w:p>
            <w:pPr>
              <w:pStyle w:val="null3"/>
              <w:jc w:val="both"/>
            </w:pPr>
            <w:r>
              <w:rPr/>
              <w:t>根据投标人拟为本项目配备的专职管理团队人数进行评价： 投标人拟为本项目配备的专职管理团队人数为10人及以上的得3分，7（含）-9（含）人的得2分，少于7人不得分。注：投标人须提供承诺函（格式自拟）并加盖公章，未提供或不符合上述要求的不得分。</w:t>
            </w:r>
          </w:p>
        </w:tc>
      </w:tr>
      <w:tr>
        <w:tc>
          <w:tcPr>
            <w:tcW w:type="dxa" w:w="3322"/>
          </w:tcPr>
          <w:p>
            <w:pPr>
              <w:pStyle w:val="null3"/>
              <w:jc w:val="both"/>
            </w:pPr>
            <w:r>
              <w:rPr/>
              <w:t>1-13</w:t>
            </w:r>
          </w:p>
        </w:tc>
        <w:tc>
          <w:tcPr>
            <w:tcW w:type="dxa" w:w="831"/>
          </w:tcPr>
          <w:p>
            <w:pPr>
              <w:pStyle w:val="null3"/>
              <w:jc w:val="right"/>
            </w:pPr>
            <w:r>
              <w:rPr/>
              <w:t>3.0000</w:t>
            </w:r>
          </w:p>
        </w:tc>
        <w:tc>
          <w:tcPr>
            <w:tcW w:type="dxa" w:w="4153"/>
          </w:tcPr>
          <w:p>
            <w:pPr>
              <w:pStyle w:val="null3"/>
              <w:jc w:val="both"/>
            </w:pPr>
            <w:r>
              <w:rPr/>
              <w:t>根据投标人拟为本项目配备的师资队伍进行评价： （1）首席专家是中组部“万人计划”领军人才或教育部“国培计划”培训专家或国家基础教育课程教材专家工作委员会委员等的得3分；首席专家是人民教育出版社（语文、数学、英语、政治、历史、地理、生物学科）教材培训专家或山东科学技术出版社（物理或化学）教材培训专家的得2分；首席专家仅为正高级职称的得1分。 注：投标人须提供相关人员的证明材料并加盖公章，未提供或不符合上述要求的不得分。</w:t>
            </w:r>
          </w:p>
        </w:tc>
      </w:tr>
      <w:tr>
        <w:tc>
          <w:tcPr>
            <w:tcW w:type="dxa" w:w="3322"/>
          </w:tcPr>
          <w:p>
            <w:pPr>
              <w:pStyle w:val="null3"/>
              <w:jc w:val="both"/>
            </w:pPr>
            <w:r>
              <w:rPr/>
              <w:t>1-14</w:t>
            </w:r>
          </w:p>
        </w:tc>
        <w:tc>
          <w:tcPr>
            <w:tcW w:type="dxa" w:w="831"/>
          </w:tcPr>
          <w:p>
            <w:pPr>
              <w:pStyle w:val="null3"/>
              <w:jc w:val="right"/>
            </w:pPr>
            <w:r>
              <w:rPr/>
              <w:t>3.0000</w:t>
            </w:r>
          </w:p>
        </w:tc>
        <w:tc>
          <w:tcPr>
            <w:tcW w:type="dxa" w:w="4153"/>
          </w:tcPr>
          <w:p>
            <w:pPr>
              <w:pStyle w:val="null3"/>
              <w:jc w:val="both"/>
            </w:pPr>
            <w:r>
              <w:rPr/>
              <w:t>根据投标人拟为本项目配备的师资队伍进行评价： （2）授课教师专家团队总人数≥30人的得3分；20人≤总人数＜30人的得1分；低于20人的不得分。 注：投标人须提供承诺函（格式自拟）并加盖公章，未提供或不符合上述要求的不得分。</w:t>
            </w:r>
          </w:p>
        </w:tc>
      </w:tr>
      <w:tr>
        <w:tc>
          <w:tcPr>
            <w:tcW w:type="dxa" w:w="3322"/>
          </w:tcPr>
          <w:p>
            <w:pPr>
              <w:pStyle w:val="null3"/>
              <w:jc w:val="both"/>
            </w:pPr>
            <w:r>
              <w:rPr/>
              <w:t>1-15</w:t>
            </w:r>
          </w:p>
        </w:tc>
        <w:tc>
          <w:tcPr>
            <w:tcW w:type="dxa" w:w="831"/>
          </w:tcPr>
          <w:p>
            <w:pPr>
              <w:pStyle w:val="null3"/>
              <w:jc w:val="right"/>
            </w:pPr>
            <w:r>
              <w:rPr/>
              <w:t>3.0000</w:t>
            </w:r>
          </w:p>
        </w:tc>
        <w:tc>
          <w:tcPr>
            <w:tcW w:type="dxa" w:w="4153"/>
          </w:tcPr>
          <w:p>
            <w:pPr>
              <w:pStyle w:val="null3"/>
              <w:jc w:val="both"/>
            </w:pPr>
            <w:r>
              <w:rPr/>
              <w:t>根据投标人拟为本项目配备的师资队伍进行评价： （3）授课教师专家团队中具有高级及以上职称的比例≥95%的得3分。 注：投标人须提供相关人员的职称证书扫描件并加盖公章，未提供或不符合上述要求的不得分。</w:t>
            </w:r>
          </w:p>
        </w:tc>
      </w:tr>
      <w:tr>
        <w:tc>
          <w:tcPr>
            <w:tcW w:type="dxa" w:w="3322"/>
          </w:tcPr>
          <w:p>
            <w:pPr>
              <w:pStyle w:val="null3"/>
              <w:jc w:val="both"/>
            </w:pPr>
            <w:r>
              <w:rPr/>
              <w:t>1-16</w:t>
            </w:r>
          </w:p>
        </w:tc>
        <w:tc>
          <w:tcPr>
            <w:tcW w:type="dxa" w:w="831"/>
          </w:tcPr>
          <w:p>
            <w:pPr>
              <w:pStyle w:val="null3"/>
              <w:jc w:val="right"/>
            </w:pPr>
            <w:r>
              <w:rPr/>
              <w:t>3.0000</w:t>
            </w:r>
          </w:p>
        </w:tc>
        <w:tc>
          <w:tcPr>
            <w:tcW w:type="dxa" w:w="4153"/>
          </w:tcPr>
          <w:p>
            <w:pPr>
              <w:pStyle w:val="null3"/>
              <w:jc w:val="both"/>
            </w:pPr>
            <w:r>
              <w:rPr/>
              <w:t>根据投标人拟为本项目配备的师资队伍进行评价： （4）授课教师专家团队中的教师授课专业为中学九大学科（语文、数学、英语、政治、历史、地理、物理、化学、生物）之一的人数所占比例≥40%的得3分；30%≤比例＜40%的得2分；20%≤比例＜30%的得1分。 注：投标人须提供相关人员的相关证书扫描件并加盖公章，未提供或不符合上述要求的不得分。</w:t>
            </w:r>
          </w:p>
        </w:tc>
      </w:tr>
      <w:tr>
        <w:tc>
          <w:tcPr>
            <w:tcW w:type="dxa" w:w="3322"/>
          </w:tcPr>
          <w:p>
            <w:pPr>
              <w:pStyle w:val="null3"/>
              <w:jc w:val="both"/>
            </w:pPr>
            <w:r>
              <w:rPr/>
              <w:t>1-17</w:t>
            </w:r>
          </w:p>
        </w:tc>
        <w:tc>
          <w:tcPr>
            <w:tcW w:type="dxa" w:w="831"/>
          </w:tcPr>
          <w:p>
            <w:pPr>
              <w:pStyle w:val="null3"/>
              <w:jc w:val="right"/>
            </w:pPr>
            <w:r>
              <w:rPr/>
              <w:t>3.0000</w:t>
            </w:r>
          </w:p>
        </w:tc>
        <w:tc>
          <w:tcPr>
            <w:tcW w:type="dxa" w:w="4153"/>
          </w:tcPr>
          <w:p>
            <w:pPr>
              <w:pStyle w:val="null3"/>
              <w:jc w:val="both"/>
            </w:pPr>
            <w:r>
              <w:rPr/>
              <w:t>根据投标人拟为本项目配备的师资队伍进行评价： （5）授课教师专家团队中的项目实施地师资所占比例≥40%的得3分；30%≤比例＜40%的得2分；20%≤比例＜30%的得1分。 注：投标人须提供配备的师资队伍成员名单（须提供教师姓名、工作单位、岗位、职称及相关材料扫描件并加盖公章）</w:t>
            </w:r>
          </w:p>
        </w:tc>
      </w:tr>
      <w:tr>
        <w:tc>
          <w:tcPr>
            <w:tcW w:type="dxa" w:w="3322"/>
          </w:tcPr>
          <w:p>
            <w:pPr>
              <w:pStyle w:val="null3"/>
              <w:jc w:val="both"/>
            </w:pPr>
            <w:r>
              <w:rPr/>
              <w:t>1-18</w:t>
            </w:r>
          </w:p>
        </w:tc>
        <w:tc>
          <w:tcPr>
            <w:tcW w:type="dxa" w:w="831"/>
          </w:tcPr>
          <w:p>
            <w:pPr>
              <w:pStyle w:val="null3"/>
              <w:jc w:val="right"/>
            </w:pPr>
            <w:r>
              <w:rPr/>
              <w:t>2.0000</w:t>
            </w:r>
          </w:p>
        </w:tc>
        <w:tc>
          <w:tcPr>
            <w:tcW w:type="dxa" w:w="4153"/>
          </w:tcPr>
          <w:p>
            <w:pPr>
              <w:pStyle w:val="null3"/>
              <w:jc w:val="both"/>
            </w:pPr>
            <w:r>
              <w:rPr/>
              <w:t>根据投标人拟为本项目配备的师资队伍进行评价： 授课专家中具有高中数学（人民教育出版社）教材副编审或以上级别资格的得2分。 注：投标人须提供相关人员的出版社出具聘书等证明文件的扫描件并加盖公章，未提供或不符合上述要求的不得分。</w:t>
            </w:r>
          </w:p>
        </w:tc>
      </w:tr>
      <w:tr>
        <w:tc>
          <w:tcPr>
            <w:tcW w:type="dxa" w:w="3322"/>
          </w:tcPr>
          <w:p>
            <w:pPr>
              <w:pStyle w:val="null3"/>
              <w:jc w:val="both"/>
            </w:pPr>
            <w:r>
              <w:rPr/>
              <w:t>1-19</w:t>
            </w:r>
          </w:p>
        </w:tc>
        <w:tc>
          <w:tcPr>
            <w:tcW w:type="dxa" w:w="831"/>
          </w:tcPr>
          <w:p>
            <w:pPr>
              <w:pStyle w:val="null3"/>
              <w:jc w:val="right"/>
            </w:pPr>
            <w:r>
              <w:rPr/>
              <w:t>2.0000</w:t>
            </w:r>
          </w:p>
        </w:tc>
        <w:tc>
          <w:tcPr>
            <w:tcW w:type="dxa" w:w="4153"/>
          </w:tcPr>
          <w:p>
            <w:pPr>
              <w:pStyle w:val="null3"/>
              <w:jc w:val="both"/>
            </w:pPr>
            <w:r>
              <w:rPr/>
              <w:t>根据投标人拟为本项目配备的师资队伍进行评价： 授课专家中具有高中英语（人民教育出版社）教材副编审或以上级别资格的得2分。 注：投标人须提供相关人员的出版社出具聘书等证明文件的扫描件并加盖公章，未提供或不符合上述要求的不得分。</w:t>
            </w:r>
          </w:p>
        </w:tc>
      </w:tr>
      <w:tr>
        <w:tc>
          <w:tcPr>
            <w:tcW w:type="dxa" w:w="3322"/>
          </w:tcPr>
          <w:p>
            <w:pPr>
              <w:pStyle w:val="null3"/>
              <w:jc w:val="both"/>
            </w:pPr>
            <w:r>
              <w:rPr/>
              <w:t>1-20</w:t>
            </w:r>
          </w:p>
        </w:tc>
        <w:tc>
          <w:tcPr>
            <w:tcW w:type="dxa" w:w="831"/>
          </w:tcPr>
          <w:p>
            <w:pPr>
              <w:pStyle w:val="null3"/>
              <w:jc w:val="right"/>
            </w:pPr>
            <w:r>
              <w:rPr/>
              <w:t>2.0000</w:t>
            </w:r>
          </w:p>
        </w:tc>
        <w:tc>
          <w:tcPr>
            <w:tcW w:type="dxa" w:w="4153"/>
          </w:tcPr>
          <w:p>
            <w:pPr>
              <w:pStyle w:val="null3"/>
              <w:jc w:val="both"/>
            </w:pPr>
            <w:r>
              <w:rPr/>
              <w:t>根据投标人拟为本项目配备的师资队伍进行评价： 授课专家中具有高中物理（山东科学技术出版社）教材副编审或以上级别资格的得2分。 注：投标人须提供相关人员的出版社出具聘书等证明文件的扫描件并加盖公章，未提供或不符合上述要求的不得分。</w:t>
            </w:r>
          </w:p>
        </w:tc>
      </w:tr>
      <w:tr>
        <w:tc>
          <w:tcPr>
            <w:tcW w:type="dxa" w:w="3322"/>
          </w:tcPr>
          <w:p>
            <w:pPr>
              <w:pStyle w:val="null3"/>
              <w:jc w:val="both"/>
            </w:pPr>
            <w:r>
              <w:rPr/>
              <w:t>1-21</w:t>
            </w:r>
          </w:p>
        </w:tc>
        <w:tc>
          <w:tcPr>
            <w:tcW w:type="dxa" w:w="831"/>
          </w:tcPr>
          <w:p>
            <w:pPr>
              <w:pStyle w:val="null3"/>
              <w:jc w:val="right"/>
            </w:pPr>
            <w:r>
              <w:rPr/>
              <w:t>2.0000</w:t>
            </w:r>
          </w:p>
        </w:tc>
        <w:tc>
          <w:tcPr>
            <w:tcW w:type="dxa" w:w="4153"/>
          </w:tcPr>
          <w:p>
            <w:pPr>
              <w:pStyle w:val="null3"/>
              <w:jc w:val="both"/>
            </w:pPr>
            <w:r>
              <w:rPr/>
              <w:t>根据投标人拟为本项目配备的师资队伍进行评价： 授课专家中具有高中化学（山东科学技术出版社）教材副编审或以上级别资格的得2分。 注：投标人须提供相关人员的出版社出具聘书等证明文件的扫描件并加盖公章，未提供或不符合上述要求的不得分。</w:t>
            </w:r>
          </w:p>
        </w:tc>
      </w:tr>
      <w:tr>
        <w:tc>
          <w:tcPr>
            <w:tcW w:type="dxa" w:w="3322"/>
          </w:tcPr>
          <w:p>
            <w:pPr>
              <w:pStyle w:val="null3"/>
              <w:jc w:val="both"/>
            </w:pPr>
            <w:r>
              <w:rPr/>
              <w:t>1-22</w:t>
            </w:r>
          </w:p>
        </w:tc>
        <w:tc>
          <w:tcPr>
            <w:tcW w:type="dxa" w:w="831"/>
          </w:tcPr>
          <w:p>
            <w:pPr>
              <w:pStyle w:val="null3"/>
              <w:jc w:val="right"/>
            </w:pPr>
            <w:r>
              <w:rPr/>
              <w:t>2.0000</w:t>
            </w:r>
          </w:p>
        </w:tc>
        <w:tc>
          <w:tcPr>
            <w:tcW w:type="dxa" w:w="4153"/>
          </w:tcPr>
          <w:p>
            <w:pPr>
              <w:pStyle w:val="null3"/>
              <w:jc w:val="both"/>
            </w:pPr>
            <w:r>
              <w:rPr/>
              <w:t>根据投标人拟为本项目配备的师资队伍进行评价： 授课专家中具有高中地理（人民教育出版社）教材副编审或以上级别资格的得2分。 注：投标人须提供相关人员的出版社出具聘书等证明文件的扫描件并加盖公章，未提供或不符合上述要求的不得分。</w:t>
            </w:r>
          </w:p>
        </w:tc>
      </w:tr>
      <w:tr>
        <w:tc>
          <w:tcPr>
            <w:tcW w:type="dxa" w:w="3322"/>
          </w:tcPr>
          <w:p>
            <w:pPr>
              <w:pStyle w:val="null3"/>
              <w:jc w:val="both"/>
            </w:pPr>
            <w:r>
              <w:rPr/>
              <w:t>1-23</w:t>
            </w:r>
          </w:p>
        </w:tc>
        <w:tc>
          <w:tcPr>
            <w:tcW w:type="dxa" w:w="831"/>
          </w:tcPr>
          <w:p>
            <w:pPr>
              <w:pStyle w:val="null3"/>
              <w:jc w:val="right"/>
            </w:pPr>
            <w:r>
              <w:rPr/>
              <w:t>2.0000</w:t>
            </w:r>
          </w:p>
        </w:tc>
        <w:tc>
          <w:tcPr>
            <w:tcW w:type="dxa" w:w="4153"/>
          </w:tcPr>
          <w:p>
            <w:pPr>
              <w:pStyle w:val="null3"/>
              <w:jc w:val="both"/>
            </w:pPr>
            <w:r>
              <w:rPr/>
              <w:t>根据投标人拟为本项目配备的师资队伍进行评价： 授课专家中具有高中政治（人民教育出版社）教材副编审或以上级别资格的得2分。 注：投标人须提供相关人员的出版社出具聘书等证明文件的扫描件并加盖公章，未提供或不符合上述要求的不得分。</w:t>
            </w:r>
          </w:p>
        </w:tc>
      </w:tr>
      <w:tr>
        <w:tc>
          <w:tcPr>
            <w:tcW w:type="dxa" w:w="3322"/>
          </w:tcPr>
          <w:p>
            <w:pPr>
              <w:pStyle w:val="null3"/>
              <w:jc w:val="both"/>
            </w:pPr>
            <w:r>
              <w:rPr/>
              <w:t>1-24</w:t>
            </w:r>
          </w:p>
        </w:tc>
        <w:tc>
          <w:tcPr>
            <w:tcW w:type="dxa" w:w="831"/>
          </w:tcPr>
          <w:p>
            <w:pPr>
              <w:pStyle w:val="null3"/>
              <w:jc w:val="right"/>
            </w:pPr>
            <w:r>
              <w:rPr/>
              <w:t>2.0000</w:t>
            </w:r>
          </w:p>
        </w:tc>
        <w:tc>
          <w:tcPr>
            <w:tcW w:type="dxa" w:w="4153"/>
          </w:tcPr>
          <w:p>
            <w:pPr>
              <w:pStyle w:val="null3"/>
              <w:jc w:val="both"/>
            </w:pPr>
            <w:r>
              <w:rPr/>
              <w:t>根据投标人拟为本项目配备的师资队伍进行评价： 授课专家中具有高中语文（人民教育出版社）教材副编审或以上级别资格的得2分。 注：投标人须提供相关人员的出版社出具聘书等证明文件的扫描件并加盖公章，未提供或不符合上述要求的不得分。</w:t>
            </w:r>
          </w:p>
        </w:tc>
      </w:tr>
      <w:tr>
        <w:tc>
          <w:tcPr>
            <w:tcW w:type="dxa" w:w="3322"/>
          </w:tcPr>
          <w:p>
            <w:pPr>
              <w:pStyle w:val="null3"/>
              <w:jc w:val="both"/>
            </w:pPr>
            <w:r>
              <w:rPr/>
              <w:t>1-25</w:t>
            </w:r>
          </w:p>
        </w:tc>
        <w:tc>
          <w:tcPr>
            <w:tcW w:type="dxa" w:w="831"/>
          </w:tcPr>
          <w:p>
            <w:pPr>
              <w:pStyle w:val="null3"/>
              <w:jc w:val="right"/>
            </w:pPr>
            <w:r>
              <w:rPr/>
              <w:t>2.0000</w:t>
            </w:r>
          </w:p>
        </w:tc>
        <w:tc>
          <w:tcPr>
            <w:tcW w:type="dxa" w:w="4153"/>
          </w:tcPr>
          <w:p>
            <w:pPr>
              <w:pStyle w:val="null3"/>
              <w:jc w:val="both"/>
            </w:pPr>
            <w:r>
              <w:rPr/>
              <w:t>根据投标人拟为本项目配备的师资队伍进行评价： 授课专家中具有高中历史（人民教育出版社）教材副编审或以上级别资格的得2分。 注：投标人须提供相关人员的相关证明文件的扫描件并加盖公章，未提供或不符合上述要求的不得分。</w:t>
            </w:r>
          </w:p>
        </w:tc>
      </w:tr>
      <w:tr>
        <w:tc>
          <w:tcPr>
            <w:tcW w:type="dxa" w:w="3322"/>
          </w:tcPr>
          <w:p>
            <w:pPr>
              <w:pStyle w:val="null3"/>
              <w:jc w:val="both"/>
            </w:pPr>
            <w:r>
              <w:rPr/>
              <w:t>1-26</w:t>
            </w:r>
          </w:p>
        </w:tc>
        <w:tc>
          <w:tcPr>
            <w:tcW w:type="dxa" w:w="831"/>
          </w:tcPr>
          <w:p>
            <w:pPr>
              <w:pStyle w:val="null3"/>
              <w:jc w:val="right"/>
            </w:pPr>
            <w:r>
              <w:rPr/>
              <w:t>2.0000</w:t>
            </w:r>
          </w:p>
        </w:tc>
        <w:tc>
          <w:tcPr>
            <w:tcW w:type="dxa" w:w="4153"/>
          </w:tcPr>
          <w:p>
            <w:pPr>
              <w:pStyle w:val="null3"/>
              <w:jc w:val="both"/>
            </w:pPr>
            <w:r>
              <w:rPr/>
              <w:t>根据投标人拟为本项目配备的师资队伍进行评价： 授课专家中具有高中生物（人民教育出版社）教材副编审或以上级别资格的得2分。 注：投标人须提供相关人员的相关证明文件的扫描件并加盖公章，未提供或不符合上述要求的不得分。</w:t>
            </w:r>
          </w:p>
        </w:tc>
      </w:tr>
      <w:tr>
        <w:tc>
          <w:tcPr>
            <w:tcW w:type="dxa" w:w="3322"/>
          </w:tcPr>
          <w:p>
            <w:pPr>
              <w:pStyle w:val="null3"/>
              <w:jc w:val="both"/>
            </w:pPr>
            <w:r>
              <w:rPr/>
              <w:t>1-27</w:t>
            </w:r>
          </w:p>
        </w:tc>
        <w:tc>
          <w:tcPr>
            <w:tcW w:type="dxa" w:w="831"/>
          </w:tcPr>
          <w:p>
            <w:pPr>
              <w:pStyle w:val="null3"/>
              <w:jc w:val="right"/>
            </w:pPr>
            <w:r>
              <w:rPr/>
              <w:t>3.0000</w:t>
            </w:r>
          </w:p>
        </w:tc>
        <w:tc>
          <w:tcPr>
            <w:tcW w:type="dxa" w:w="4153"/>
          </w:tcPr>
          <w:p>
            <w:pPr>
              <w:pStyle w:val="null3"/>
              <w:jc w:val="both"/>
            </w:pPr>
            <w:r>
              <w:rPr/>
              <w:t>根据投标人拟为本项目配备的师资队伍进行评价：师资队伍中的专家有在CN期刊发表高中考试评价领域的教育教学论文3篇（含）以上的得3分。 注：投标人须提供已发表的论文的扫描件/复印件并加盖公章，未提供或不符合上述要求的不得分。</w:t>
            </w:r>
          </w:p>
        </w:tc>
      </w:tr>
    </w:tbl>
    <w:p>
      <w:pPr>
        <w:pStyle w:val="null3"/>
        <w:jc w:val="both"/>
      </w:pPr>
      <w:r>
        <w:rPr/>
        <w:t>商务项（F3×A3）满分为20.0000分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2-1</w:t>
            </w:r>
          </w:p>
        </w:tc>
        <w:tc>
          <w:tcPr>
            <w:tcW w:type="dxa" w:w="831"/>
          </w:tcPr>
          <w:p>
            <w:pPr>
              <w:pStyle w:val="null3"/>
              <w:jc w:val="right"/>
            </w:pPr>
            <w:r>
              <w:rPr/>
              <w:t>3.0000</w:t>
            </w:r>
          </w:p>
        </w:tc>
        <w:tc>
          <w:tcPr>
            <w:tcW w:type="dxa" w:w="4153"/>
          </w:tcPr>
          <w:p>
            <w:pPr>
              <w:pStyle w:val="null3"/>
              <w:jc w:val="both"/>
            </w:pPr>
            <w:r>
              <w:rPr/>
              <w:t>根据投标人自2022年1月1日至开标当日（以合同签订时间为准）组织基础教育教师教研类培训项目的满意度情况进行评价： 课程安排满意度达85%以上或评价意见为良好或满意或优秀的每个业绩得1分，满分3分。 注：投标人须提供有效证明材料的扫描件（包括但不限于：业主方盖章的评价意见书及双方签订合同扫描件等）并加盖公章（或电子公章），未提供或不符合上述要求的不得分。为避免重复加分，2-1、2-2项提供的项目材料不予重复计分。</w:t>
            </w:r>
          </w:p>
        </w:tc>
      </w:tr>
      <w:tr>
        <w:tc>
          <w:tcPr>
            <w:tcW w:type="dxa" w:w="3322"/>
          </w:tcPr>
          <w:p>
            <w:pPr>
              <w:pStyle w:val="null3"/>
              <w:jc w:val="both"/>
            </w:pPr>
            <w:r>
              <w:rPr/>
              <w:t>2-2</w:t>
            </w:r>
          </w:p>
        </w:tc>
        <w:tc>
          <w:tcPr>
            <w:tcW w:type="dxa" w:w="831"/>
          </w:tcPr>
          <w:p>
            <w:pPr>
              <w:pStyle w:val="null3"/>
              <w:jc w:val="right"/>
            </w:pPr>
            <w:r>
              <w:rPr/>
              <w:t>3.0000</w:t>
            </w:r>
          </w:p>
        </w:tc>
        <w:tc>
          <w:tcPr>
            <w:tcW w:type="dxa" w:w="4153"/>
          </w:tcPr>
          <w:p>
            <w:pPr>
              <w:pStyle w:val="null3"/>
              <w:jc w:val="both"/>
            </w:pPr>
            <w:r>
              <w:rPr/>
              <w:t>根据投标人自2022年1月1日至开标当日（以合同签订时间为准）组织基础教育教师分学科培训项目的满意度情况进行评价： 课程安排满意度达85%以上或评价意见为良好或满意或优秀的每个业绩得1分，满分3分。 注：投标人须提供有效证明材料的扫描件（包括但不限于：业主方盖章的评价意见书及双方签订合同扫描件等）并加盖公章（或电子公章），未提供或不符合上述要求的不得分。为避免重复加分，2-1、2-2项提供的项目材料不予重复计分。</w:t>
            </w:r>
          </w:p>
        </w:tc>
      </w:tr>
      <w:tr>
        <w:tc>
          <w:tcPr>
            <w:tcW w:type="dxa" w:w="3322"/>
          </w:tcPr>
          <w:p>
            <w:pPr>
              <w:pStyle w:val="null3"/>
              <w:jc w:val="both"/>
            </w:pPr>
            <w:r>
              <w:rPr/>
              <w:t>2-3</w:t>
            </w:r>
          </w:p>
        </w:tc>
        <w:tc>
          <w:tcPr>
            <w:tcW w:type="dxa" w:w="831"/>
          </w:tcPr>
          <w:p>
            <w:pPr>
              <w:pStyle w:val="null3"/>
              <w:jc w:val="right"/>
            </w:pPr>
            <w:r>
              <w:rPr/>
              <w:t>3.0000</w:t>
            </w:r>
          </w:p>
        </w:tc>
        <w:tc>
          <w:tcPr>
            <w:tcW w:type="dxa" w:w="4153"/>
          </w:tcPr>
          <w:p>
            <w:pPr>
              <w:pStyle w:val="null3"/>
              <w:jc w:val="both"/>
            </w:pPr>
            <w:r>
              <w:rPr/>
              <w:t>根据投标人自2022年1月1日至开标当日（以合同签订时间为准），组织市级或以上高三毕业班备考培训项目的业绩情况进行评价，每个业绩得1分，满分3分。投标人需提供业绩的以下四项证明材料，否则不计分： ①中标（成交）公告（提供相关网站中标（成交）公告的下载网页并注明网址）； ②中标（成交）通知书扫描件； ③采购合同文本扫描件； ④业绩项目已履约完毕的，提供能够证明该业绩项目经验收合格或履约完成的相关证明材料；如未按采购文件要求提供该项业绩完整资料的，评标委员会对该项业绩应不予采信。</w:t>
            </w:r>
          </w:p>
        </w:tc>
      </w:tr>
      <w:tr>
        <w:tc>
          <w:tcPr>
            <w:tcW w:type="dxa" w:w="3322"/>
          </w:tcPr>
          <w:p>
            <w:pPr>
              <w:pStyle w:val="null3"/>
              <w:jc w:val="both"/>
            </w:pPr>
            <w:r>
              <w:rPr/>
              <w:t>2-4</w:t>
            </w:r>
          </w:p>
        </w:tc>
        <w:tc>
          <w:tcPr>
            <w:tcW w:type="dxa" w:w="831"/>
          </w:tcPr>
          <w:p>
            <w:pPr>
              <w:pStyle w:val="null3"/>
              <w:jc w:val="right"/>
            </w:pPr>
            <w:r>
              <w:rPr/>
              <w:t>1.0000</w:t>
            </w:r>
          </w:p>
        </w:tc>
        <w:tc>
          <w:tcPr>
            <w:tcW w:type="dxa" w:w="4153"/>
          </w:tcPr>
          <w:p>
            <w:pPr>
              <w:pStyle w:val="null3"/>
              <w:jc w:val="both"/>
            </w:pPr>
            <w:r>
              <w:rPr/>
              <w:t>投标人承诺：在中标后遵守保密义务，并签订保密协议的得1分。注：投标人须提供承诺函（格式自拟）并加盖公章（或电子公章），未提供或不符合上述要求的不得分。</w:t>
            </w:r>
          </w:p>
        </w:tc>
      </w:tr>
      <w:tr>
        <w:tc>
          <w:tcPr>
            <w:tcW w:type="dxa" w:w="3322"/>
          </w:tcPr>
          <w:p>
            <w:pPr>
              <w:pStyle w:val="null3"/>
              <w:jc w:val="both"/>
            </w:pPr>
            <w:r>
              <w:rPr/>
              <w:t>2-5</w:t>
            </w:r>
          </w:p>
        </w:tc>
        <w:tc>
          <w:tcPr>
            <w:tcW w:type="dxa" w:w="831"/>
          </w:tcPr>
          <w:p>
            <w:pPr>
              <w:pStyle w:val="null3"/>
              <w:jc w:val="right"/>
            </w:pPr>
            <w:r>
              <w:rPr/>
              <w:t>1.0000</w:t>
            </w:r>
          </w:p>
        </w:tc>
        <w:tc>
          <w:tcPr>
            <w:tcW w:type="dxa" w:w="4153"/>
          </w:tcPr>
          <w:p>
            <w:pPr>
              <w:pStyle w:val="null3"/>
              <w:jc w:val="both"/>
            </w:pPr>
            <w:r>
              <w:rPr/>
              <w:t>投标人承诺：集中培训期间住宿条件达到三星级及以上酒店。 完全满足以上要求的得1分。 注：投标人须提供承诺函（格式自拟）并加盖公章（或电子公章），未提供或不符合上述要求的不得分。</w:t>
            </w:r>
          </w:p>
        </w:tc>
      </w:tr>
      <w:tr>
        <w:tc>
          <w:tcPr>
            <w:tcW w:type="dxa" w:w="3322"/>
          </w:tcPr>
          <w:p>
            <w:pPr>
              <w:pStyle w:val="null3"/>
              <w:jc w:val="both"/>
            </w:pPr>
            <w:r>
              <w:rPr/>
              <w:t>2-6</w:t>
            </w:r>
          </w:p>
        </w:tc>
        <w:tc>
          <w:tcPr>
            <w:tcW w:type="dxa" w:w="831"/>
          </w:tcPr>
          <w:p>
            <w:pPr>
              <w:pStyle w:val="null3"/>
              <w:jc w:val="right"/>
            </w:pPr>
            <w:r>
              <w:rPr/>
              <w:t>2.0000</w:t>
            </w:r>
          </w:p>
        </w:tc>
        <w:tc>
          <w:tcPr>
            <w:tcW w:type="dxa" w:w="4153"/>
          </w:tcPr>
          <w:p>
            <w:pPr>
              <w:pStyle w:val="null3"/>
              <w:jc w:val="both"/>
            </w:pPr>
            <w:r>
              <w:rPr/>
              <w:t>根据投标人提供服务的培训场所情况进行评价： ①培训场所环境质量整洁、设施设备崭新齐全、所在区域交通便利（公交、BRT、地铁可直达等）的得1分； ②在满足①的基础上，培训场所拥有免费停车场，能够容纳本项目车辆停放的得2分； 注：投标人须提供承诺函（格式自拟）并加盖公章（或电子公章），未提供或不符合上述要求的不得分。</w:t>
            </w:r>
          </w:p>
        </w:tc>
      </w:tr>
      <w:tr>
        <w:tc>
          <w:tcPr>
            <w:tcW w:type="dxa" w:w="3322"/>
          </w:tcPr>
          <w:p>
            <w:pPr>
              <w:pStyle w:val="null3"/>
              <w:jc w:val="both"/>
            </w:pPr>
            <w:r>
              <w:rPr/>
              <w:t>2-7</w:t>
            </w:r>
          </w:p>
        </w:tc>
        <w:tc>
          <w:tcPr>
            <w:tcW w:type="dxa" w:w="831"/>
          </w:tcPr>
          <w:p>
            <w:pPr>
              <w:pStyle w:val="null3"/>
              <w:jc w:val="right"/>
            </w:pPr>
            <w:r>
              <w:rPr/>
              <w:t>2.0000</w:t>
            </w:r>
          </w:p>
        </w:tc>
        <w:tc>
          <w:tcPr>
            <w:tcW w:type="dxa" w:w="4153"/>
          </w:tcPr>
          <w:p>
            <w:pPr>
              <w:pStyle w:val="null3"/>
              <w:jc w:val="both"/>
            </w:pPr>
            <w:r>
              <w:rPr/>
              <w:t>根据投标人承诺在集中培训期间提供的餐食情况进行评价： ①餐食标准不低于150元/人/天的1分；②在满足①的基础上，荤素搭配合理、菜系多样化的得2分。注：投标人须提供承诺函（格式自拟）并加盖公章（或电子公章），未提供或不符合上述要求的不得分。</w:t>
            </w:r>
          </w:p>
        </w:tc>
      </w:tr>
      <w:tr>
        <w:tc>
          <w:tcPr>
            <w:tcW w:type="dxa" w:w="3322"/>
          </w:tcPr>
          <w:p>
            <w:pPr>
              <w:pStyle w:val="null3"/>
              <w:jc w:val="both"/>
            </w:pPr>
            <w:r>
              <w:rPr/>
              <w:t>2-8</w:t>
            </w:r>
          </w:p>
        </w:tc>
        <w:tc>
          <w:tcPr>
            <w:tcW w:type="dxa" w:w="831"/>
          </w:tcPr>
          <w:p>
            <w:pPr>
              <w:pStyle w:val="null3"/>
              <w:jc w:val="right"/>
            </w:pPr>
            <w:r>
              <w:rPr/>
              <w:t>1.0000</w:t>
            </w:r>
          </w:p>
        </w:tc>
        <w:tc>
          <w:tcPr>
            <w:tcW w:type="dxa" w:w="4153"/>
          </w:tcPr>
          <w:p>
            <w:pPr>
              <w:pStyle w:val="null3"/>
              <w:jc w:val="both"/>
            </w:pPr>
            <w:r>
              <w:rPr/>
              <w:t>根据投标人提供的售后服务情况进行评价： 投标人承诺：在培训期间提供24小时的电话支持服务，电话解决不了的，30分钟内到达指定地点解决问题的得1分。 注：投标人须提供承诺函（格式自拟）并加盖公章（或电子公章），未提供或不符合上述要求的不得分。</w:t>
            </w:r>
          </w:p>
        </w:tc>
      </w:tr>
      <w:tr>
        <w:tc>
          <w:tcPr>
            <w:tcW w:type="dxa" w:w="3322"/>
          </w:tcPr>
          <w:p>
            <w:pPr>
              <w:pStyle w:val="null3"/>
              <w:jc w:val="both"/>
            </w:pPr>
            <w:r>
              <w:rPr/>
              <w:t>2-9</w:t>
            </w:r>
          </w:p>
        </w:tc>
        <w:tc>
          <w:tcPr>
            <w:tcW w:type="dxa" w:w="831"/>
          </w:tcPr>
          <w:p>
            <w:pPr>
              <w:pStyle w:val="null3"/>
              <w:jc w:val="right"/>
            </w:pPr>
            <w:r>
              <w:rPr/>
              <w:t>2.0000</w:t>
            </w:r>
          </w:p>
        </w:tc>
        <w:tc>
          <w:tcPr>
            <w:tcW w:type="dxa" w:w="4153"/>
          </w:tcPr>
          <w:p>
            <w:pPr>
              <w:pStyle w:val="null3"/>
              <w:jc w:val="both"/>
            </w:pPr>
            <w:r>
              <w:rPr/>
              <w:t>投标人为本次培训配备2名专职班主任全程跟班管理的得2分，须提供拟投入专职班主任人员简历及投标截止时间前三个月(不含投标截止时间当月)中任一月份的在供应商处缴纳社保证明材料，未提供或不符合的不得分。</w:t>
            </w:r>
          </w:p>
        </w:tc>
      </w:tr>
      <w:tr>
        <w:tc>
          <w:tcPr>
            <w:tcW w:type="dxa" w:w="3322"/>
          </w:tcPr>
          <w:p>
            <w:pPr>
              <w:pStyle w:val="null3"/>
              <w:jc w:val="both"/>
            </w:pPr>
            <w:r>
              <w:rPr/>
              <w:t>2-10</w:t>
            </w:r>
          </w:p>
        </w:tc>
        <w:tc>
          <w:tcPr>
            <w:tcW w:type="dxa" w:w="831"/>
          </w:tcPr>
          <w:p>
            <w:pPr>
              <w:pStyle w:val="null3"/>
              <w:jc w:val="right"/>
            </w:pPr>
            <w:r>
              <w:rPr/>
              <w:t>2.0000</w:t>
            </w:r>
          </w:p>
        </w:tc>
        <w:tc>
          <w:tcPr>
            <w:tcW w:type="dxa" w:w="4153"/>
          </w:tcPr>
          <w:p>
            <w:pPr>
              <w:pStyle w:val="null3"/>
              <w:jc w:val="both"/>
            </w:pPr>
            <w:r>
              <w:rPr/>
              <w:t>供应商可提供项目所在地本地化服务的得2分，否则不得分。供应商可提供合作单位协议或者自身机构的营业执照证明，也可以提供在本地设立的项目部、办公室、办事处等机构证明或承诺中标（成交）后提供本地化服务。</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第五章 招标内容及要求</w:t>
      </w:r>
    </w:p>
    <w:p>
      <w:pPr>
        <w:pStyle w:val="null3"/>
        <w:jc w:val="both"/>
        <w:outlineLvl w:val="2"/>
      </w:pPr>
      <w:r>
        <w:rPr>
          <w:sz w:val="28"/>
          <w:b/>
        </w:rPr>
        <w:t>一、项目概况（采购标的）</w:t>
      </w:r>
    </w:p>
    <w:p>
      <w:pPr>
        <w:pStyle w:val="null3"/>
        <w:ind w:firstLine="480"/>
        <w:jc w:val="both"/>
      </w:pPr>
      <w:r>
        <w:rPr>
          <w:rFonts w:ascii="仿宋" w:hAnsi="仿宋" w:cs="仿宋" w:eastAsia="仿宋"/>
          <w:sz w:val="24"/>
          <w:b/>
          <w:color w:val="000000"/>
        </w:rPr>
        <w:t>采购标的一览表</w:t>
      </w:r>
    </w:p>
    <w:tbl>
      <w:tblPr>
        <w:tblW w:w="0" w:type="auto"/>
        <w:tblBorders>
          <w:top w:val="none" w:color="000000" w:sz="4"/>
          <w:left w:val="none" w:color="000000" w:sz="4"/>
          <w:bottom w:val="none" w:color="000000" w:sz="4"/>
          <w:right w:val="none" w:color="000000" w:sz="4"/>
          <w:insideH w:val="none"/>
          <w:insideV w:val="none"/>
        </w:tblBorders>
      </w:tblPr>
      <w:tblGrid>
        <w:gridCol w:w="844"/>
        <w:gridCol w:w="878"/>
        <w:gridCol w:w="3224"/>
        <w:gridCol w:w="1185"/>
      </w:tblGrid>
      <w:tr>
        <w:tc>
          <w:tcPr>
            <w:tcW w:type="dxa" w:w="844"/>
            <w:tcBorders>
              <w:top w:val="outset" w:color="000000" w:sz="4"/>
              <w:left w:val="outset" w:color="000000" w:sz="4"/>
              <w:bottom w:val="outset" w:color="000000" w:sz="4"/>
              <w:right w:val="outset" w:color="000000" w:sz="4"/>
            </w:tcBorders>
            <w:shd w:fill="FFFFFF"/>
            <w:tcMar>
              <w:top w:type="dxa" w:w="0"/>
              <w:left w:type="dxa" w:w="0"/>
              <w:bottom w:type="dxa" w:w="0"/>
              <w:right w:type="dxa" w:w="0"/>
            </w:tcMar>
            <w:vAlign w:val="top"/>
          </w:tcPr>
          <w:p>
            <w:pPr>
              <w:pStyle w:val="null3"/>
              <w:ind w:firstLine="380"/>
              <w:jc w:val="center"/>
            </w:pPr>
            <w:r>
              <w:rPr>
                <w:rFonts w:ascii="仿宋" w:hAnsi="仿宋" w:cs="仿宋" w:eastAsia="仿宋"/>
                <w:sz w:val="24"/>
                <w:color w:val="000000"/>
              </w:rPr>
              <w:t>合同包</w:t>
            </w:r>
          </w:p>
        </w:tc>
        <w:tc>
          <w:tcPr>
            <w:tcW w:type="dxa" w:w="878"/>
            <w:tcBorders>
              <w:top w:val="outset" w:color="000000" w:sz="4"/>
              <w:left w:val="none" w:color="000000" w:sz="4"/>
              <w:bottom w:val="outset" w:color="000000" w:sz="4"/>
              <w:right w:val="outset" w:color="000000" w:sz="4"/>
            </w:tcBorders>
            <w:shd w:fill="FFFFFF"/>
            <w:tcMar>
              <w:top w:type="dxa" w:w="0"/>
              <w:left w:type="dxa" w:w="0"/>
              <w:bottom w:type="dxa" w:w="0"/>
              <w:right w:type="dxa" w:w="0"/>
            </w:tcMar>
            <w:vAlign w:val="top"/>
          </w:tcPr>
          <w:p>
            <w:pPr>
              <w:pStyle w:val="null3"/>
              <w:ind w:firstLine="380"/>
              <w:jc w:val="center"/>
            </w:pPr>
            <w:r>
              <w:rPr>
                <w:rFonts w:ascii="仿宋" w:hAnsi="仿宋" w:cs="仿宋" w:eastAsia="仿宋"/>
                <w:sz w:val="24"/>
                <w:color w:val="000000"/>
              </w:rPr>
              <w:t>品目号</w:t>
            </w:r>
          </w:p>
        </w:tc>
        <w:tc>
          <w:tcPr>
            <w:tcW w:type="dxa" w:w="3224"/>
            <w:tcBorders>
              <w:top w:val="outset" w:color="000000" w:sz="4"/>
              <w:left w:val="none" w:color="000000" w:sz="4"/>
              <w:bottom w:val="outset" w:color="000000" w:sz="4"/>
              <w:right w:val="outset" w:color="000000" w:sz="4"/>
            </w:tcBorders>
            <w:shd w:fill="FFFFFF"/>
            <w:tcMar>
              <w:top w:type="dxa" w:w="0"/>
              <w:left w:type="dxa" w:w="0"/>
              <w:bottom w:type="dxa" w:w="0"/>
              <w:right w:type="dxa" w:w="0"/>
            </w:tcMar>
            <w:vAlign w:val="top"/>
          </w:tcPr>
          <w:p>
            <w:pPr>
              <w:pStyle w:val="null3"/>
              <w:ind w:firstLine="380"/>
              <w:jc w:val="center"/>
            </w:pPr>
            <w:r>
              <w:rPr>
                <w:rFonts w:ascii="仿宋" w:hAnsi="仿宋" w:cs="仿宋" w:eastAsia="仿宋"/>
                <w:sz w:val="24"/>
                <w:color w:val="000000"/>
              </w:rPr>
              <w:t>采购标的</w:t>
            </w:r>
          </w:p>
        </w:tc>
        <w:tc>
          <w:tcPr>
            <w:tcW w:type="dxa" w:w="1185"/>
            <w:tcBorders>
              <w:top w:val="outset" w:color="000000" w:sz="4"/>
              <w:left w:val="none" w:color="000000" w:sz="4"/>
              <w:bottom w:val="outset" w:color="000000" w:sz="4"/>
              <w:right w:val="outset" w:color="000000" w:sz="4"/>
            </w:tcBorders>
            <w:shd w:fill="FFFFFF"/>
            <w:tcMar>
              <w:top w:type="dxa" w:w="0"/>
              <w:left w:type="dxa" w:w="0"/>
              <w:bottom w:type="dxa" w:w="0"/>
              <w:right w:type="dxa" w:w="0"/>
            </w:tcMar>
            <w:vAlign w:val="top"/>
          </w:tcPr>
          <w:p>
            <w:pPr>
              <w:pStyle w:val="null3"/>
              <w:ind w:firstLine="380"/>
              <w:jc w:val="center"/>
            </w:pPr>
            <w:r>
              <w:rPr>
                <w:rFonts w:ascii="仿宋" w:hAnsi="仿宋" w:cs="仿宋" w:eastAsia="仿宋"/>
                <w:sz w:val="24"/>
                <w:color w:val="000000"/>
              </w:rPr>
              <w:t>数量</w:t>
            </w:r>
          </w:p>
        </w:tc>
      </w:tr>
      <w:tr>
        <w:tc>
          <w:tcPr>
            <w:tcW w:type="dxa" w:w="844"/>
            <w:tcBorders>
              <w:top w:val="none" w:color="000000" w:sz="4"/>
              <w:left w:val="outset" w:color="000000" w:sz="4"/>
              <w:bottom w:val="outset" w:color="000000" w:sz="4"/>
              <w:right w:val="outset" w:color="000000" w:sz="4"/>
            </w:tcBorders>
            <w:shd w:fill="FFFFFF"/>
            <w:tcMar>
              <w:top w:type="dxa" w:w="0"/>
              <w:left w:type="dxa" w:w="0"/>
              <w:bottom w:type="dxa" w:w="0"/>
              <w:right w:type="dxa" w:w="0"/>
            </w:tcMar>
            <w:vAlign w:val="top"/>
          </w:tcPr>
          <w:p>
            <w:pPr>
              <w:pStyle w:val="null3"/>
              <w:ind w:firstLine="380"/>
              <w:jc w:val="center"/>
            </w:pPr>
            <w:r>
              <w:rPr>
                <w:rFonts w:ascii="仿宋" w:hAnsi="仿宋" w:cs="仿宋" w:eastAsia="仿宋"/>
                <w:sz w:val="24"/>
                <w:color w:val="000000"/>
              </w:rPr>
              <w:t>1</w:t>
            </w:r>
          </w:p>
        </w:tc>
        <w:tc>
          <w:tcPr>
            <w:tcW w:type="dxa" w:w="878"/>
            <w:tcBorders>
              <w:top w:val="none" w:color="000000" w:sz="4"/>
              <w:left w:val="none" w:color="000000" w:sz="4"/>
              <w:bottom w:val="outset" w:color="000000" w:sz="4"/>
              <w:right w:val="outset" w:color="000000" w:sz="4"/>
            </w:tcBorders>
            <w:shd w:fill="FFFFFF"/>
            <w:tcMar>
              <w:top w:type="dxa" w:w="0"/>
              <w:left w:type="dxa" w:w="0"/>
              <w:bottom w:type="dxa" w:w="0"/>
              <w:right w:type="dxa" w:w="0"/>
            </w:tcMar>
            <w:vAlign w:val="top"/>
          </w:tcPr>
          <w:p>
            <w:pPr>
              <w:pStyle w:val="null3"/>
              <w:ind w:firstLine="380"/>
              <w:jc w:val="center"/>
            </w:pPr>
            <w:r>
              <w:rPr>
                <w:rFonts w:ascii="仿宋" w:hAnsi="仿宋" w:cs="仿宋" w:eastAsia="仿宋"/>
                <w:sz w:val="24"/>
                <w:color w:val="000000"/>
              </w:rPr>
              <w:t>1-1</w:t>
            </w:r>
          </w:p>
        </w:tc>
        <w:tc>
          <w:tcPr>
            <w:tcW w:type="dxa" w:w="3224"/>
            <w:tcBorders>
              <w:top w:val="none" w:color="000000" w:sz="4"/>
              <w:left w:val="none" w:color="000000" w:sz="4"/>
              <w:bottom w:val="outset" w:color="000000" w:sz="4"/>
              <w:right w:val="outset" w:color="000000" w:sz="4"/>
            </w:tcBorders>
            <w:shd w:fill="FFFFFF"/>
            <w:tcMar>
              <w:top w:type="dxa" w:w="0"/>
              <w:left w:type="dxa" w:w="0"/>
              <w:bottom w:type="dxa" w:w="0"/>
              <w:right w:type="dxa" w:w="0"/>
            </w:tcMar>
            <w:vAlign w:val="top"/>
          </w:tcPr>
          <w:p>
            <w:pPr>
              <w:pStyle w:val="null3"/>
              <w:jc w:val="center"/>
            </w:pPr>
            <w:r>
              <w:rPr>
                <w:rFonts w:ascii="仿宋" w:hAnsi="仿宋" w:cs="仿宋" w:eastAsia="仿宋"/>
                <w:sz w:val="24"/>
                <w:color w:val="000000"/>
              </w:rPr>
              <w:t>厦门市</w:t>
            </w:r>
            <w:r>
              <w:rPr>
                <w:rFonts w:ascii="仿宋" w:hAnsi="仿宋" w:cs="仿宋" w:eastAsia="仿宋"/>
                <w:sz w:val="24"/>
                <w:color w:val="000000"/>
              </w:rPr>
              <w:t>2025届高中毕业班二轮复习备考培训</w:t>
            </w:r>
          </w:p>
        </w:tc>
        <w:tc>
          <w:tcPr>
            <w:tcW w:type="dxa" w:w="1185"/>
            <w:tcBorders>
              <w:top w:val="none" w:color="000000" w:sz="4"/>
              <w:left w:val="none" w:color="000000" w:sz="4"/>
              <w:bottom w:val="outset" w:color="000000" w:sz="4"/>
              <w:right w:val="outset" w:color="000000" w:sz="4"/>
            </w:tcBorders>
            <w:shd w:fill="FFFFFF"/>
            <w:tcMar>
              <w:top w:type="dxa" w:w="0"/>
              <w:left w:type="dxa" w:w="0"/>
              <w:bottom w:type="dxa" w:w="0"/>
              <w:right w:type="dxa" w:w="0"/>
            </w:tcMar>
            <w:vAlign w:val="top"/>
          </w:tcPr>
          <w:p>
            <w:pPr>
              <w:pStyle w:val="null3"/>
              <w:ind w:firstLine="380"/>
              <w:jc w:val="center"/>
            </w:pPr>
            <w:r>
              <w:rPr>
                <w:rFonts w:ascii="仿宋" w:hAnsi="仿宋" w:cs="仿宋" w:eastAsia="仿宋"/>
                <w:sz w:val="24"/>
                <w:color w:val="000000"/>
              </w:rPr>
              <w:t>1</w:t>
            </w:r>
            <w:r>
              <w:rPr>
                <w:rFonts w:ascii="仿宋" w:hAnsi="仿宋" w:cs="仿宋" w:eastAsia="仿宋"/>
                <w:sz w:val="24"/>
                <w:color w:val="000000"/>
              </w:rPr>
              <w:t>项</w:t>
            </w:r>
          </w:p>
        </w:tc>
      </w:tr>
    </w:tbl>
    <w:p>
      <w:pPr>
        <w:pStyle w:val="null3"/>
        <w:ind w:firstLine="480"/>
        <w:jc w:val="left"/>
      </w:pPr>
      <w:r>
        <w:rPr>
          <w:rFonts w:ascii="仿宋" w:hAnsi="仿宋" w:cs="仿宋" w:eastAsia="仿宋"/>
          <w:sz w:val="24"/>
          <w:color w:val="000000"/>
        </w:rPr>
        <w:t>备注：</w:t>
      </w:r>
    </w:p>
    <w:p>
      <w:pPr>
        <w:pStyle w:val="null3"/>
        <w:ind w:firstLine="420"/>
        <w:jc w:val="both"/>
      </w:pPr>
      <w:r>
        <w:rPr>
          <w:rFonts w:ascii="仿宋" w:hAnsi="仿宋" w:cs="仿宋" w:eastAsia="仿宋"/>
          <w:sz w:val="24"/>
          <w:color w:val="000000"/>
        </w:rPr>
        <w:t>1.</w:t>
      </w:r>
      <w:r>
        <w:rPr>
          <w:rFonts w:ascii="仿宋" w:hAnsi="仿宋" w:cs="仿宋" w:eastAsia="仿宋"/>
          <w:sz w:val="24"/>
          <w:color w:val="000000"/>
        </w:rPr>
        <w:t>培训标准和专家课酬按</w:t>
      </w:r>
      <w:r>
        <w:rPr>
          <w:rFonts w:ascii="仿宋" w:hAnsi="仿宋" w:cs="仿宋" w:eastAsia="仿宋"/>
          <w:sz w:val="24"/>
          <w:color w:val="000000"/>
        </w:rPr>
        <w:t>本省培训参</w:t>
      </w:r>
      <w:r>
        <w:rPr>
          <w:rFonts w:ascii="仿宋" w:hAnsi="仿宋" w:cs="仿宋" w:eastAsia="仿宋"/>
          <w:sz w:val="24"/>
          <w:color w:val="000000"/>
        </w:rPr>
        <w:t>照</w:t>
      </w:r>
      <w:r>
        <w:rPr>
          <w:rFonts w:ascii="仿宋" w:hAnsi="仿宋" w:cs="仿宋" w:eastAsia="仿宋"/>
          <w:sz w:val="24"/>
          <w:color w:val="000000"/>
        </w:rPr>
        <w:t>厦教财〔</w:t>
      </w:r>
      <w:r>
        <w:rPr>
          <w:rFonts w:ascii="仿宋" w:hAnsi="仿宋" w:cs="仿宋" w:eastAsia="仿宋"/>
          <w:sz w:val="24"/>
          <w:color w:val="000000"/>
        </w:rPr>
        <w:t>2017〕17号</w:t>
      </w:r>
      <w:r>
        <w:rPr>
          <w:rFonts w:ascii="仿宋" w:hAnsi="仿宋" w:cs="仿宋" w:eastAsia="仿宋"/>
          <w:sz w:val="24"/>
          <w:color w:val="000000"/>
        </w:rPr>
        <w:t>的相关规定执行。</w:t>
      </w:r>
    </w:p>
    <w:p>
      <w:pPr>
        <w:pStyle w:val="null3"/>
        <w:jc w:val="both"/>
        <w:outlineLvl w:val="2"/>
      </w:pPr>
      <w:r>
        <w:rPr>
          <w:sz w:val="28"/>
          <w:b/>
        </w:rPr>
        <w:t>二、技术和服务要求（以“★”标示的内容为不允许负偏离的实质性要求）</w:t>
      </w:r>
    </w:p>
    <w:p>
      <w:pPr>
        <w:pStyle w:val="null3"/>
        <w:numPr>
          <w:ilvl w:val="0"/>
          <w:numId w:val="1"/>
        </w:numPr>
        <w:jc w:val="left"/>
      </w:pPr>
      <w:r>
        <w:rPr>
          <w:rFonts w:ascii="仿宋" w:hAnsi="仿宋" w:cs="仿宋" w:eastAsia="仿宋"/>
          <w:sz w:val="24"/>
          <w:b/>
          <w:color w:val="000000"/>
        </w:rPr>
        <w:t>（一）</w:t>
      </w:r>
      <w:r>
        <w:rPr>
          <w:rFonts w:ascii="仿宋" w:hAnsi="仿宋" w:cs="仿宋" w:eastAsia="仿宋"/>
          <w:sz w:val="24"/>
          <w:b/>
          <w:color w:val="000000"/>
        </w:rPr>
        <w:t>项目背景</w:t>
      </w:r>
    </w:p>
    <w:p>
      <w:pPr>
        <w:pStyle w:val="null3"/>
        <w:ind w:firstLine="482"/>
        <w:jc w:val="left"/>
      </w:pPr>
      <w:r>
        <w:rPr>
          <w:rFonts w:ascii="仿宋" w:hAnsi="仿宋" w:cs="仿宋" w:eastAsia="仿宋"/>
          <w:sz w:val="24"/>
          <w:b/>
          <w:color w:val="000000"/>
        </w:rPr>
        <w:t>根据国务院关于印发《国务院关于深化考试招生制度改革的实施意见》的文件精神和《福建省教育厅</w:t>
      </w:r>
      <w:r>
        <w:rPr>
          <w:rFonts w:ascii="仿宋" w:hAnsi="仿宋" w:cs="仿宋" w:eastAsia="仿宋"/>
          <w:sz w:val="24"/>
          <w:b/>
          <w:color w:val="000000"/>
        </w:rPr>
        <w:t>2023年工作要点》提出了关于组织好高中毕业班</w:t>
      </w:r>
      <w:r>
        <w:rPr>
          <w:rFonts w:ascii="仿宋" w:hAnsi="仿宋" w:cs="仿宋" w:eastAsia="仿宋"/>
          <w:sz w:val="24"/>
          <w:b/>
          <w:color w:val="000000"/>
        </w:rPr>
        <w:t>教学评价</w:t>
      </w:r>
      <w:r>
        <w:rPr>
          <w:rFonts w:ascii="仿宋" w:hAnsi="仿宋" w:cs="仿宋" w:eastAsia="仿宋"/>
          <w:sz w:val="24"/>
          <w:b/>
          <w:color w:val="000000"/>
        </w:rPr>
        <w:t>的要求，面对分类考试、综合评价、多元录取的考试招生模式，健全促进公平、科学选才、监督有力的体制机制。以</w:t>
      </w:r>
      <w:r>
        <w:rPr>
          <w:rFonts w:ascii="仿宋" w:hAnsi="仿宋" w:cs="仿宋" w:eastAsia="仿宋"/>
          <w:sz w:val="24"/>
          <w:b/>
          <w:color w:val="000000"/>
        </w:rPr>
        <w:t>“学生核心素养”为纲，立足基于学科核心素养的教学与评价，改变学科知识点的碎片化复习，实现教学设计与素养目标的有效对接，提升备考指导力。</w:t>
      </w:r>
    </w:p>
    <w:p>
      <w:pPr>
        <w:pStyle w:val="null3"/>
        <w:ind w:firstLine="482"/>
        <w:jc w:val="both"/>
      </w:pPr>
      <w:r>
        <w:rPr>
          <w:rFonts w:ascii="仿宋" w:hAnsi="仿宋" w:cs="仿宋" w:eastAsia="仿宋"/>
          <w:sz w:val="24"/>
          <w:b/>
          <w:color w:val="000000"/>
        </w:rPr>
        <w:t>（</w:t>
      </w:r>
      <w:r>
        <w:rPr>
          <w:rFonts w:ascii="仿宋" w:hAnsi="仿宋" w:cs="仿宋" w:eastAsia="仿宋"/>
          <w:sz w:val="24"/>
          <w:b/>
          <w:color w:val="000000"/>
        </w:rPr>
        <w:t>二</w:t>
      </w:r>
      <w:r>
        <w:rPr>
          <w:rFonts w:ascii="仿宋" w:hAnsi="仿宋" w:cs="仿宋" w:eastAsia="仿宋"/>
          <w:sz w:val="24"/>
          <w:b/>
          <w:color w:val="000000"/>
        </w:rPr>
        <w:t>）培训</w:t>
      </w:r>
      <w:r>
        <w:rPr>
          <w:rFonts w:ascii="仿宋" w:hAnsi="仿宋" w:cs="仿宋" w:eastAsia="仿宋"/>
          <w:sz w:val="24"/>
          <w:b/>
          <w:color w:val="000000"/>
        </w:rPr>
        <w:t>目标：</w:t>
      </w:r>
    </w:p>
    <w:p>
      <w:pPr>
        <w:pStyle w:val="null3"/>
        <w:ind w:firstLine="482"/>
        <w:jc w:val="both"/>
      </w:pPr>
      <w:r>
        <w:rPr>
          <w:rFonts w:ascii="仿宋" w:hAnsi="仿宋" w:cs="仿宋" w:eastAsia="仿宋"/>
          <w:sz w:val="24"/>
          <w:b/>
          <w:color w:val="000000"/>
        </w:rPr>
        <w:t>1.总体目标：集中培训阶段：聚焦新课程改革、新教材使用、新高考改革等领域，通过专家专题讲座、主题实践观摩、经典案例分析等多种培训形式，理论知识与实践经验紧密结合。</w:t>
      </w:r>
    </w:p>
    <w:p>
      <w:pPr>
        <w:pStyle w:val="null3"/>
        <w:ind w:firstLine="482"/>
        <w:jc w:val="both"/>
      </w:pPr>
      <w:r>
        <w:rPr>
          <w:rFonts w:ascii="仿宋" w:hAnsi="仿宋" w:cs="仿宋" w:eastAsia="仿宋"/>
          <w:sz w:val="24"/>
          <w:b/>
          <w:color w:val="000000"/>
        </w:rPr>
        <w:t>2.具体目标：高三培训课程立足核心素养背景下的学科教学与评价、高考命题趋势与命题特点，高考备考的复习策略与方法，重点关注2024年福建省高考试卷的分析。</w:t>
      </w:r>
    </w:p>
    <w:p>
      <w:pPr>
        <w:pStyle w:val="null3"/>
        <w:ind w:firstLine="482"/>
        <w:jc w:val="left"/>
      </w:pPr>
      <w:r>
        <w:rPr>
          <w:rFonts w:ascii="仿宋" w:hAnsi="仿宋" w:cs="仿宋" w:eastAsia="仿宋"/>
          <w:sz w:val="24"/>
          <w:b/>
          <w:color w:val="000000"/>
        </w:rPr>
        <w:t>（</w:t>
      </w:r>
      <w:r>
        <w:rPr>
          <w:rFonts w:ascii="仿宋" w:hAnsi="仿宋" w:cs="仿宋" w:eastAsia="仿宋"/>
          <w:sz w:val="24"/>
          <w:b/>
          <w:color w:val="000000"/>
        </w:rPr>
        <w:t>三</w:t>
      </w:r>
      <w:r>
        <w:rPr>
          <w:rFonts w:ascii="仿宋" w:hAnsi="仿宋" w:cs="仿宋" w:eastAsia="仿宋"/>
          <w:sz w:val="24"/>
          <w:b/>
          <w:color w:val="000000"/>
        </w:rPr>
        <w:t>）培训</w:t>
      </w:r>
      <w:r>
        <w:rPr>
          <w:rFonts w:ascii="仿宋" w:hAnsi="仿宋" w:cs="仿宋" w:eastAsia="仿宋"/>
          <w:sz w:val="24"/>
          <w:b/>
          <w:color w:val="000000"/>
        </w:rPr>
        <w:t>安排</w:t>
      </w:r>
    </w:p>
    <w:p>
      <w:pPr>
        <w:pStyle w:val="null3"/>
        <w:ind w:firstLine="480"/>
        <w:jc w:val="left"/>
      </w:pPr>
      <w:r>
        <w:rPr>
          <w:rFonts w:ascii="宋体" w:hAnsi="宋体" w:cs="宋体" w:eastAsia="宋体"/>
          <w:sz w:val="24"/>
          <w:color w:val="000000"/>
        </w:rPr>
        <w:t>1.培训对象：语文、数学、英语、政治、历史、地理、物理、化学、生物九个学科高三教师，约1665人。</w:t>
      </w:r>
    </w:p>
    <w:p>
      <w:pPr>
        <w:pStyle w:val="null3"/>
        <w:ind w:firstLine="480"/>
        <w:jc w:val="left"/>
      </w:pPr>
      <w:r>
        <w:rPr>
          <w:rFonts w:ascii="宋体" w:hAnsi="宋体" w:cs="宋体" w:eastAsia="宋体"/>
          <w:sz w:val="24"/>
          <w:color w:val="000000"/>
        </w:rPr>
        <w:t>2.培训地点：厦门市内。</w:t>
      </w:r>
    </w:p>
    <w:p>
      <w:pPr>
        <w:pStyle w:val="null3"/>
        <w:ind w:firstLine="480"/>
        <w:jc w:val="left"/>
      </w:pPr>
      <w:r>
        <w:rPr>
          <w:rFonts w:ascii="宋体" w:hAnsi="宋体" w:cs="宋体" w:eastAsia="宋体"/>
          <w:sz w:val="24"/>
          <w:color w:val="000000"/>
        </w:rPr>
        <w:t>3.培训时间：202</w:t>
      </w:r>
      <w:r>
        <w:rPr>
          <w:rFonts w:ascii="宋体" w:hAnsi="宋体" w:cs="宋体" w:eastAsia="宋体"/>
          <w:sz w:val="24"/>
          <w:color w:val="000000"/>
        </w:rPr>
        <w:t>5</w:t>
      </w:r>
      <w:r>
        <w:rPr>
          <w:rFonts w:ascii="宋体" w:hAnsi="宋体" w:cs="宋体" w:eastAsia="宋体"/>
          <w:sz w:val="24"/>
          <w:color w:val="000000"/>
        </w:rPr>
        <w:t>年</w:t>
      </w:r>
      <w:r>
        <w:rPr>
          <w:rFonts w:ascii="宋体" w:hAnsi="宋体" w:cs="宋体" w:eastAsia="宋体"/>
          <w:sz w:val="24"/>
          <w:color w:val="000000"/>
        </w:rPr>
        <w:t>2</w:t>
      </w:r>
      <w:r>
        <w:rPr>
          <w:rFonts w:ascii="宋体" w:hAnsi="宋体" w:cs="宋体" w:eastAsia="宋体"/>
          <w:sz w:val="24"/>
          <w:color w:val="000000"/>
        </w:rPr>
        <w:t>月</w:t>
      </w:r>
      <w:r>
        <w:rPr>
          <w:rFonts w:ascii="宋体" w:hAnsi="宋体" w:cs="宋体" w:eastAsia="宋体"/>
          <w:sz w:val="24"/>
          <w:color w:val="000000"/>
        </w:rPr>
        <w:t>中旬</w:t>
      </w:r>
      <w:r>
        <w:rPr>
          <w:rFonts w:ascii="宋体" w:hAnsi="宋体" w:cs="宋体" w:eastAsia="宋体"/>
          <w:sz w:val="24"/>
          <w:color w:val="000000"/>
        </w:rPr>
        <w:t>。</w:t>
      </w:r>
    </w:p>
    <w:p>
      <w:pPr>
        <w:pStyle w:val="null3"/>
        <w:ind w:firstLine="480"/>
        <w:jc w:val="left"/>
      </w:pPr>
      <w:r>
        <w:rPr>
          <w:rFonts w:ascii="宋体" w:hAnsi="宋体" w:cs="宋体" w:eastAsia="宋体"/>
          <w:sz w:val="24"/>
          <w:color w:val="000000"/>
        </w:rPr>
        <w:t>3</w:t>
      </w:r>
      <w:r>
        <w:rPr>
          <w:rFonts w:ascii="宋体" w:hAnsi="宋体" w:cs="宋体" w:eastAsia="宋体"/>
          <w:sz w:val="24"/>
          <w:color w:val="000000"/>
        </w:rPr>
        <w:t>培训时长：</w:t>
      </w:r>
      <w:r>
        <w:rPr>
          <w:rFonts w:ascii="宋体" w:hAnsi="宋体" w:cs="宋体" w:eastAsia="宋体"/>
          <w:sz w:val="24"/>
          <w:color w:val="000000"/>
        </w:rPr>
        <w:t>每科</w:t>
      </w:r>
      <w:r>
        <w:rPr>
          <w:rFonts w:ascii="宋体" w:hAnsi="宋体" w:cs="宋体" w:eastAsia="宋体"/>
          <w:sz w:val="24"/>
          <w:color w:val="000000"/>
        </w:rPr>
        <w:t>两天</w:t>
      </w:r>
      <w:r>
        <w:rPr>
          <w:rFonts w:ascii="宋体" w:hAnsi="宋体" w:cs="宋体" w:eastAsia="宋体"/>
          <w:sz w:val="24"/>
          <w:color w:val="000000"/>
        </w:rPr>
        <w:t>，</w:t>
      </w:r>
      <w:r>
        <w:rPr>
          <w:rFonts w:ascii="宋体" w:hAnsi="宋体" w:cs="宋体" w:eastAsia="宋体"/>
          <w:sz w:val="24"/>
          <w:color w:val="000000"/>
        </w:rPr>
        <w:t>每科</w:t>
      </w:r>
      <w:r>
        <w:rPr>
          <w:rFonts w:ascii="宋体" w:hAnsi="宋体" w:cs="宋体" w:eastAsia="宋体"/>
          <w:sz w:val="24"/>
          <w:color w:val="000000"/>
        </w:rPr>
        <w:t>不少于</w:t>
      </w:r>
      <w:r>
        <w:rPr>
          <w:rFonts w:ascii="宋体" w:hAnsi="宋体" w:cs="宋体" w:eastAsia="宋体"/>
          <w:sz w:val="24"/>
          <w:color w:val="000000"/>
        </w:rPr>
        <w:t>16</w:t>
      </w:r>
      <w:r>
        <w:rPr>
          <w:rFonts w:ascii="宋体" w:hAnsi="宋体" w:cs="宋体" w:eastAsia="宋体"/>
          <w:sz w:val="24"/>
          <w:color w:val="000000"/>
        </w:rPr>
        <w:t>课时</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4.培训内容：</w:t>
      </w:r>
    </w:p>
    <w:p>
      <w:pPr>
        <w:pStyle w:val="null3"/>
        <w:ind w:firstLine="480"/>
        <w:jc w:val="both"/>
      </w:pPr>
      <w:r>
        <w:rPr>
          <w:rFonts w:ascii="宋体" w:hAnsi="宋体" w:cs="宋体" w:eastAsia="宋体"/>
          <w:sz w:val="24"/>
          <w:color w:val="000000"/>
        </w:rPr>
        <w:t>集中培训阶段：</w:t>
      </w:r>
      <w:r>
        <w:rPr>
          <w:rFonts w:ascii="宋体" w:hAnsi="宋体" w:cs="宋体" w:eastAsia="宋体"/>
          <w:sz w:val="24"/>
          <w:color w:val="000000"/>
        </w:rPr>
        <w:t>聚焦</w:t>
      </w:r>
      <w:r>
        <w:rPr>
          <w:rFonts w:ascii="宋体" w:hAnsi="宋体" w:cs="宋体" w:eastAsia="宋体"/>
          <w:sz w:val="24"/>
          <w:color w:val="000000"/>
        </w:rPr>
        <w:t>新课程改革、新教材使用、</w:t>
      </w:r>
      <w:r>
        <w:rPr>
          <w:rFonts w:ascii="宋体" w:hAnsi="宋体" w:cs="宋体" w:eastAsia="宋体"/>
          <w:sz w:val="24"/>
          <w:color w:val="000000"/>
        </w:rPr>
        <w:t>新高考改革</w:t>
      </w:r>
      <w:r>
        <w:rPr>
          <w:rFonts w:ascii="宋体" w:hAnsi="宋体" w:cs="宋体" w:eastAsia="宋体"/>
          <w:sz w:val="24"/>
          <w:color w:val="000000"/>
        </w:rPr>
        <w:t>等领域</w:t>
      </w:r>
      <w:r>
        <w:rPr>
          <w:rFonts w:ascii="宋体" w:hAnsi="宋体" w:cs="宋体" w:eastAsia="宋体"/>
          <w:sz w:val="24"/>
          <w:color w:val="000000"/>
        </w:rPr>
        <w:t>，</w:t>
      </w:r>
      <w:r>
        <w:rPr>
          <w:rFonts w:ascii="宋体" w:hAnsi="宋体" w:cs="宋体" w:eastAsia="宋体"/>
          <w:sz w:val="24"/>
          <w:color w:val="000000"/>
        </w:rPr>
        <w:t>通过专</w:t>
      </w:r>
      <w:r>
        <w:rPr>
          <w:rFonts w:ascii="宋体" w:hAnsi="宋体" w:cs="宋体" w:eastAsia="宋体"/>
          <w:sz w:val="24"/>
          <w:color w:val="000000"/>
        </w:rPr>
        <w:t>家专题讲座、主题实践观摩、经典案例分析等多种培训形式，理论知识与实践经验紧密结合。高三培训课程立足核心素养背景下的学科教学与评价、高考命题趋势与命题特点，高考备考的复习策略与方法，重点关注</w:t>
      </w:r>
      <w:r>
        <w:rPr>
          <w:rFonts w:ascii="宋体" w:hAnsi="宋体" w:cs="宋体" w:eastAsia="宋体"/>
          <w:sz w:val="24"/>
          <w:color w:val="000000"/>
        </w:rPr>
        <w:t>202</w:t>
      </w:r>
      <w:r>
        <w:rPr>
          <w:rFonts w:ascii="宋体" w:hAnsi="宋体" w:cs="宋体" w:eastAsia="宋体"/>
          <w:sz w:val="24"/>
          <w:color w:val="000000"/>
        </w:rPr>
        <w:t>4</w:t>
      </w:r>
      <w:r>
        <w:rPr>
          <w:rFonts w:ascii="宋体" w:hAnsi="宋体" w:cs="宋体" w:eastAsia="宋体"/>
          <w:sz w:val="24"/>
          <w:color w:val="000000"/>
        </w:rPr>
        <w:t>年</w:t>
      </w:r>
      <w:r>
        <w:rPr>
          <w:rFonts w:ascii="宋体" w:hAnsi="宋体" w:cs="宋体" w:eastAsia="宋体"/>
          <w:sz w:val="24"/>
          <w:color w:val="000000"/>
        </w:rPr>
        <w:t>福建省高考试卷</w:t>
      </w:r>
      <w:r>
        <w:rPr>
          <w:rFonts w:ascii="宋体" w:hAnsi="宋体" w:cs="宋体" w:eastAsia="宋体"/>
          <w:sz w:val="24"/>
          <w:color w:val="000000"/>
        </w:rPr>
        <w:t>的分析</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5.培训方式：</w:t>
      </w:r>
      <w:r>
        <w:rPr>
          <w:rFonts w:ascii="宋体" w:hAnsi="宋体" w:cs="宋体" w:eastAsia="宋体"/>
          <w:sz w:val="24"/>
          <w:color w:val="000000"/>
        </w:rPr>
        <w:t>通过专</w:t>
      </w:r>
      <w:r>
        <w:rPr>
          <w:rFonts w:ascii="宋体" w:hAnsi="宋体" w:cs="宋体" w:eastAsia="宋体"/>
          <w:sz w:val="24"/>
          <w:color w:val="000000"/>
        </w:rPr>
        <w:t>家专题讲座、主题实践观摩、经典案例分析等多种培训形式，理论知识与实践经验紧密结合。</w:t>
      </w:r>
    </w:p>
    <w:p>
      <w:pPr>
        <w:pStyle w:val="null3"/>
        <w:jc w:val="both"/>
        <w:outlineLvl w:val="2"/>
      </w:pPr>
      <w:r>
        <w:rPr>
          <w:sz w:val="28"/>
          <w:b/>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tc>
        <w:tc>
          <w:tcPr>
            <w:tcW w:type="dxa" w:w="2076"/>
          </w:tcPr>
          <w:p>
            <w:pPr>
              <w:pStyle w:val="null3"/>
              <w:jc w:val="left"/>
            </w:pPr>
            <w:r>
              <w:rPr/>
              <w:t>交货时间</w:t>
            </w:r>
          </w:p>
        </w:tc>
        <w:tc>
          <w:tcPr>
            <w:tcW w:type="dxa" w:w="2076"/>
          </w:tcPr>
          <w:p>
            <w:pPr>
              <w:pStyle w:val="null3"/>
              <w:jc w:val="left"/>
            </w:pPr>
            <w:r>
              <w:rPr/>
              <w:t>2025年3月前完成服务内容。</w:t>
            </w:r>
          </w:p>
        </w:tc>
      </w:tr>
      <w:tr>
        <w:tc>
          <w:tcPr>
            <w:tcW w:type="dxa" w:w="2076"/>
          </w:tcPr>
          <w:p>
            <w:pPr>
              <w:pStyle w:val="null3"/>
              <w:jc w:val="left"/>
            </w:pPr>
            <w:r>
              <w:rPr/>
              <w:t>2</w:t>
            </w:r>
          </w:p>
        </w:tc>
        <w:tc>
          <w:tcPr>
            <w:tcW w:type="dxa" w:w="2076"/>
          </w:tcPr>
          <w:p/>
        </w:tc>
        <w:tc>
          <w:tcPr>
            <w:tcW w:type="dxa" w:w="2076"/>
          </w:tcPr>
          <w:p>
            <w:pPr>
              <w:pStyle w:val="null3"/>
              <w:jc w:val="left"/>
            </w:pPr>
            <w:r>
              <w:rPr/>
              <w:t>交货地点</w:t>
            </w:r>
          </w:p>
        </w:tc>
        <w:tc>
          <w:tcPr>
            <w:tcW w:type="dxa" w:w="2076"/>
          </w:tcPr>
          <w:p>
            <w:pPr>
              <w:pStyle w:val="null3"/>
              <w:jc w:val="left"/>
            </w:pPr>
            <w:r>
              <w:rPr/>
              <w:t>厦门市思明区坑内路23号。</w:t>
            </w:r>
          </w:p>
        </w:tc>
      </w:tr>
      <w:tr>
        <w:tc>
          <w:tcPr>
            <w:tcW w:type="dxa" w:w="2076"/>
          </w:tcPr>
          <w:p>
            <w:pPr>
              <w:pStyle w:val="null3"/>
              <w:jc w:val="left"/>
            </w:pPr>
            <w:r>
              <w:rPr/>
              <w:t>3</w:t>
            </w:r>
          </w:p>
        </w:tc>
        <w:tc>
          <w:tcPr>
            <w:tcW w:type="dxa" w:w="2076"/>
          </w:tcPr>
          <w:p/>
        </w:tc>
        <w:tc>
          <w:tcPr>
            <w:tcW w:type="dxa" w:w="2076"/>
          </w:tcPr>
          <w:p>
            <w:pPr>
              <w:pStyle w:val="null3"/>
              <w:jc w:val="left"/>
            </w:pPr>
            <w:r>
              <w:rPr/>
              <w:t>交货条件</w:t>
            </w:r>
          </w:p>
        </w:tc>
        <w:tc>
          <w:tcPr>
            <w:tcW w:type="dxa" w:w="2076"/>
          </w:tcPr>
          <w:p>
            <w:pPr>
              <w:pStyle w:val="null3"/>
              <w:jc w:val="left"/>
            </w:pPr>
            <w:r>
              <w:rPr/>
              <w:t>服务符合采购人要求，经采购人验收合格。</w:t>
            </w:r>
          </w:p>
        </w:tc>
      </w:tr>
      <w:tr>
        <w:tc>
          <w:tcPr>
            <w:tcW w:type="dxa" w:w="2076"/>
          </w:tcPr>
          <w:p>
            <w:pPr>
              <w:pStyle w:val="null3"/>
              <w:jc w:val="left"/>
            </w:pPr>
            <w:r>
              <w:rPr/>
              <w:t>4</w:t>
            </w:r>
          </w:p>
        </w:tc>
        <w:tc>
          <w:tcPr>
            <w:tcW w:type="dxa" w:w="2076"/>
          </w:tcP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tc>
        <w:tc>
          <w:tcPr>
            <w:tcW w:type="dxa" w:w="2076"/>
          </w:tcPr>
          <w:p>
            <w:pPr>
              <w:pStyle w:val="null3"/>
              <w:jc w:val="left"/>
            </w:pPr>
            <w:r>
              <w:rPr/>
              <w:t>履约验收方式</w:t>
            </w:r>
          </w:p>
        </w:tc>
        <w:tc>
          <w:tcPr>
            <w:tcW w:type="dxa" w:w="2076"/>
          </w:tcPr>
          <w:p>
            <w:pPr>
              <w:pStyle w:val="null3"/>
              <w:jc w:val="left"/>
            </w:pPr>
            <w:r>
              <w:rPr/>
              <w:t>1、期次1，说明：依据培训需求，完成所有培训任务，进行综合验收。</w:t>
            </w:r>
          </w:p>
        </w:tc>
      </w:tr>
      <w:tr>
        <w:tc>
          <w:tcPr>
            <w:tcW w:type="dxa" w:w="2076"/>
          </w:tcPr>
          <w:p>
            <w:pPr>
              <w:pStyle w:val="null3"/>
              <w:jc w:val="left"/>
            </w:pPr>
            <w:r>
              <w:rPr/>
              <w:t>6</w:t>
            </w:r>
          </w:p>
        </w:tc>
        <w:tc>
          <w:tcPr>
            <w:tcW w:type="dxa" w:w="2076"/>
          </w:tcPr>
          <w:p/>
        </w:tc>
        <w:tc>
          <w:tcPr>
            <w:tcW w:type="dxa" w:w="2076"/>
          </w:tcPr>
          <w:p>
            <w:pPr>
              <w:pStyle w:val="null3"/>
              <w:jc w:val="left"/>
            </w:pPr>
            <w:r>
              <w:rPr/>
              <w:t>合同支付方式</w:t>
            </w:r>
          </w:p>
        </w:tc>
        <w:tc>
          <w:tcPr>
            <w:tcW w:type="dxa" w:w="2076"/>
          </w:tcPr>
          <w:p>
            <w:pPr>
              <w:pStyle w:val="null3"/>
              <w:jc w:val="left"/>
            </w:pPr>
            <w:r>
              <w:rPr/>
              <w:t>1、合同签订后，在收到中标人相应金额的增值税发票后，达到付款条件起7日内，支付合同总金额的50.00%</w:t>
            </w:r>
          </w:p>
          <w:p>
            <w:pPr>
              <w:pStyle w:val="null3"/>
              <w:jc w:val="left"/>
            </w:pPr>
            <w:r>
              <w:rPr/>
              <w:t>2、所有培训结束后，经采购人验收无任何问题且收到中标人相应金额的增值税发票后，达到付款条件起7日内，支付合同总金额的50.00%</w:t>
            </w:r>
          </w:p>
        </w:tc>
      </w:tr>
      <w:tr>
        <w:tc>
          <w:tcPr>
            <w:tcW w:type="dxa" w:w="2076"/>
          </w:tcPr>
          <w:p>
            <w:pPr>
              <w:pStyle w:val="null3"/>
              <w:jc w:val="left"/>
            </w:pPr>
            <w:r>
              <w:rPr/>
              <w:t>7</w:t>
            </w:r>
          </w:p>
        </w:tc>
        <w:tc>
          <w:tcPr>
            <w:tcW w:type="dxa" w:w="2076"/>
          </w:tcPr>
          <w:p/>
        </w:tc>
        <w:tc>
          <w:tcPr>
            <w:tcW w:type="dxa" w:w="2076"/>
          </w:tcPr>
          <w:p>
            <w:pPr>
              <w:pStyle w:val="null3"/>
              <w:jc w:val="left"/>
            </w:pPr>
            <w:r>
              <w:rPr/>
              <w:t>履约保证金</w:t>
            </w:r>
          </w:p>
        </w:tc>
        <w:tc>
          <w:tcPr>
            <w:tcW w:type="dxa" w:w="2076"/>
          </w:tcPr>
          <w:p>
            <w:pPr>
              <w:pStyle w:val="null3"/>
              <w:jc w:val="left"/>
            </w:pPr>
            <w:r>
              <w:rPr/>
              <w:t>不缴纳</w:t>
            </w:r>
          </w:p>
        </w:tc>
      </w:tr>
    </w:tbl>
    <w:p>
      <w:pPr>
        <w:pStyle w:val="null3"/>
        <w:jc w:val="left"/>
      </w:pPr>
      <w:r>
        <w:rPr/>
        <w:t>其他商务要求</w:t>
      </w:r>
    </w:p>
    <w:p>
      <w:pPr>
        <w:pStyle w:val="null3"/>
        <w:ind w:firstLine="480"/>
        <w:jc w:val="left"/>
      </w:pPr>
      <w:r>
        <w:rPr>
          <w:rFonts w:ascii="仿宋" w:hAnsi="仿宋" w:cs="仿宋" w:eastAsia="仿宋"/>
          <w:sz w:val="24"/>
          <w:color w:val="000000"/>
        </w:rPr>
        <w:t>8</w:t>
      </w:r>
      <w:r>
        <w:rPr>
          <w:rFonts w:ascii="仿宋" w:hAnsi="仿宋" w:cs="仿宋" w:eastAsia="仿宋"/>
          <w:sz w:val="24"/>
          <w:color w:val="000000"/>
        </w:rPr>
        <w:t>.1本次采购为整体采购，供应商必须对采购项目的所有内容及服务进行完整报价响应。拆分报价或不完整响应的将视为无效响应。</w:t>
      </w:r>
    </w:p>
    <w:p>
      <w:pPr>
        <w:pStyle w:val="null3"/>
        <w:ind w:firstLine="480"/>
        <w:jc w:val="both"/>
      </w:pPr>
      <w:r>
        <w:rPr>
          <w:rFonts w:ascii="仿宋" w:hAnsi="仿宋" w:cs="仿宋" w:eastAsia="仿宋"/>
          <w:sz w:val="24"/>
          <w:color w:val="000000"/>
        </w:rPr>
        <w:t>8</w:t>
      </w:r>
      <w:r>
        <w:rPr>
          <w:rFonts w:ascii="仿宋" w:hAnsi="仿宋" w:cs="仿宋" w:eastAsia="仿宋"/>
          <w:sz w:val="24"/>
          <w:color w:val="000000"/>
        </w:rPr>
        <w:t>.2报价以人民币为货币单位，本项目报价分授课费和培训费。</w:t>
      </w:r>
    </w:p>
    <w:p>
      <w:pPr>
        <w:pStyle w:val="null3"/>
        <w:ind w:firstLine="480"/>
        <w:jc w:val="both"/>
      </w:pPr>
      <w:r>
        <w:rPr>
          <w:rFonts w:ascii="仿宋" w:hAnsi="仿宋" w:cs="仿宋" w:eastAsia="仿宋"/>
          <w:sz w:val="24"/>
          <w:color w:val="000000"/>
        </w:rPr>
        <w:t>★</w:t>
      </w:r>
      <w:r>
        <w:rPr>
          <w:rFonts w:ascii="仿宋" w:hAnsi="仿宋" w:cs="仿宋" w:eastAsia="仿宋"/>
          <w:sz w:val="24"/>
          <w:color w:val="000000"/>
        </w:rPr>
        <w:t>8</w:t>
      </w:r>
      <w:r>
        <w:rPr>
          <w:rFonts w:ascii="仿宋" w:hAnsi="仿宋" w:cs="仿宋" w:eastAsia="仿宋"/>
          <w:sz w:val="24"/>
          <w:color w:val="000000"/>
        </w:rPr>
        <w:t>.3本项目</w:t>
      </w:r>
      <w:r>
        <w:rPr>
          <w:rFonts w:ascii="仿宋" w:hAnsi="仿宋" w:cs="仿宋" w:eastAsia="仿宋"/>
          <w:sz w:val="24"/>
          <w:color w:val="000000"/>
        </w:rPr>
        <w:t>采购预算为投标报价的最高限价，投标报价超过采购预算的</w:t>
      </w:r>
      <w:r>
        <w:rPr>
          <w:rFonts w:ascii="仿宋" w:hAnsi="仿宋" w:cs="仿宋" w:eastAsia="仿宋"/>
          <w:sz w:val="24"/>
          <w:color w:val="000000"/>
        </w:rPr>
        <w:t>作</w:t>
      </w:r>
      <w:r>
        <w:rPr>
          <w:rFonts w:ascii="仿宋" w:hAnsi="仿宋" w:cs="仿宋" w:eastAsia="仿宋"/>
          <w:sz w:val="24"/>
          <w:color w:val="000000"/>
        </w:rPr>
        <w:t>无效</w:t>
      </w:r>
      <w:r>
        <w:rPr>
          <w:rFonts w:ascii="仿宋" w:hAnsi="仿宋" w:cs="仿宋" w:eastAsia="仿宋"/>
          <w:sz w:val="24"/>
          <w:color w:val="000000"/>
        </w:rPr>
        <w:t>投标</w:t>
      </w:r>
      <w:r>
        <w:rPr>
          <w:rFonts w:ascii="仿宋" w:hAnsi="仿宋" w:cs="仿宋" w:eastAsia="仿宋"/>
          <w:sz w:val="24"/>
          <w:color w:val="000000"/>
        </w:rPr>
        <w:t>处理</w:t>
      </w:r>
      <w:r>
        <w:rPr>
          <w:rFonts w:ascii="仿宋" w:hAnsi="仿宋" w:cs="仿宋" w:eastAsia="仿宋"/>
          <w:sz w:val="24"/>
          <w:color w:val="000000"/>
        </w:rPr>
        <w:t>。</w:t>
      </w:r>
    </w:p>
    <w:p>
      <w:pPr>
        <w:pStyle w:val="null3"/>
        <w:ind w:firstLine="480"/>
        <w:jc w:val="both"/>
      </w:pPr>
      <w:r>
        <w:rPr>
          <w:rFonts w:ascii="仿宋" w:hAnsi="仿宋" w:cs="仿宋" w:eastAsia="仿宋"/>
          <w:sz w:val="24"/>
          <w:color w:val="000000"/>
        </w:rPr>
        <w:t>8</w:t>
      </w:r>
      <w:r>
        <w:rPr>
          <w:rFonts w:ascii="仿宋" w:hAnsi="仿宋" w:cs="仿宋" w:eastAsia="仿宋"/>
          <w:sz w:val="24"/>
          <w:color w:val="000000"/>
        </w:rPr>
        <w:t>.4培训费为完成培训期间所有可能发生的费用，包括</w:t>
      </w:r>
      <w:r>
        <w:rPr>
          <w:rFonts w:ascii="仿宋" w:hAnsi="仿宋" w:cs="仿宋" w:eastAsia="仿宋"/>
          <w:sz w:val="24"/>
          <w:color w:val="000000"/>
        </w:rPr>
        <w:t>培训费、师资费、学习资料费、餐费、住宿费、合影费、证书费、专家往来交通费、专家食宿费、</w:t>
      </w:r>
      <w:r>
        <w:rPr>
          <w:rFonts w:ascii="仿宋" w:hAnsi="仿宋" w:cs="仿宋" w:eastAsia="仿宋"/>
          <w:sz w:val="24"/>
          <w:color w:val="000000"/>
        </w:rPr>
        <w:t>实地考察</w:t>
      </w:r>
      <w:r>
        <w:rPr>
          <w:rFonts w:ascii="仿宋" w:hAnsi="仿宋" w:cs="仿宋" w:eastAsia="仿宋"/>
          <w:sz w:val="24"/>
          <w:color w:val="000000"/>
        </w:rPr>
        <w:t>、</w:t>
      </w:r>
      <w:r>
        <w:rPr>
          <w:rFonts w:ascii="仿宋" w:hAnsi="仿宋" w:cs="仿宋" w:eastAsia="仿宋"/>
          <w:sz w:val="24"/>
          <w:color w:val="000000"/>
        </w:rPr>
        <w:t>教学管理费及培训期间所有教学相关等费用</w:t>
      </w:r>
      <w:r>
        <w:rPr>
          <w:rFonts w:ascii="仿宋" w:hAnsi="仿宋" w:cs="仿宋" w:eastAsia="仿宋"/>
          <w:sz w:val="24"/>
          <w:color w:val="000000"/>
        </w:rPr>
        <w:t>，其中</w:t>
      </w:r>
      <w:r>
        <w:rPr>
          <w:rFonts w:ascii="仿宋" w:hAnsi="仿宋" w:cs="仿宋" w:eastAsia="仿宋"/>
          <w:sz w:val="24"/>
          <w:color w:val="000000"/>
        </w:rPr>
        <w:t>培训</w:t>
      </w:r>
      <w:r>
        <w:rPr>
          <w:rFonts w:ascii="仿宋" w:hAnsi="仿宋" w:cs="仿宋" w:eastAsia="仿宋"/>
          <w:sz w:val="24"/>
          <w:color w:val="000000"/>
        </w:rPr>
        <w:t>费总额以实际参加培训人数计算。</w:t>
      </w:r>
    </w:p>
    <w:p>
      <w:pPr>
        <w:pStyle w:val="null3"/>
        <w:ind w:firstLine="480"/>
        <w:jc w:val="both"/>
      </w:pPr>
      <w:r>
        <w:rPr>
          <w:rFonts w:ascii="仿宋" w:hAnsi="仿宋" w:cs="仿宋" w:eastAsia="仿宋"/>
          <w:sz w:val="24"/>
          <w:color w:val="000000"/>
        </w:rPr>
        <w:t>8</w:t>
      </w:r>
      <w:r>
        <w:rPr>
          <w:rFonts w:ascii="仿宋" w:hAnsi="仿宋" w:cs="仿宋" w:eastAsia="仿宋"/>
          <w:sz w:val="24"/>
          <w:color w:val="000000"/>
        </w:rPr>
        <w:t>.5供应商漏报的单价或每单价报价中漏报、少报的费用，视为此项费用已隐含在报价中，成交后不得再向采购人收取任何费用。</w:t>
      </w:r>
    </w:p>
    <w:p>
      <w:pPr>
        <w:pStyle w:val="null3"/>
        <w:ind w:firstLine="480"/>
        <w:jc w:val="both"/>
      </w:pPr>
      <w:r>
        <w:rPr>
          <w:rFonts w:ascii="仿宋" w:hAnsi="仿宋" w:cs="仿宋" w:eastAsia="仿宋"/>
          <w:sz w:val="24"/>
          <w:color w:val="000000"/>
        </w:rPr>
        <w:t>8</w:t>
      </w:r>
      <w:r>
        <w:rPr>
          <w:rFonts w:ascii="仿宋" w:hAnsi="仿宋" w:cs="仿宋" w:eastAsia="仿宋"/>
          <w:sz w:val="24"/>
          <w:color w:val="000000"/>
        </w:rPr>
        <w:t>.6供应商对本项目只能有一个报价，采购单位不接受有选择的报价。</w:t>
      </w:r>
    </w:p>
    <w:p>
      <w:pPr>
        <w:pStyle w:val="null3"/>
        <w:ind w:firstLine="480"/>
        <w:jc w:val="both"/>
      </w:pPr>
      <w:r>
        <w:rPr/>
        <w:t xml:space="preserve"> </w:t>
      </w:r>
    </w:p>
    <w:p>
      <w:pPr>
        <w:pStyle w:val="null3"/>
        <w:ind w:firstLine="480"/>
        <w:jc w:val="both"/>
      </w:pPr>
      <w:r>
        <w:rPr>
          <w:sz w:val="24"/>
        </w:rPr>
        <w:t>9、后附附件</w:t>
      </w:r>
    </w:p>
    <w:p>
      <w:pPr>
        <w:pStyle w:val="null3"/>
      </w:pPr>
      <w:r>
        <w:rPr>
          <w:rFonts w:ascii="宋体" w:hAnsi="宋体" w:cs="宋体" w:eastAsia="宋体"/>
          <w:sz w:val="24"/>
          <w:color w:val="000000"/>
        </w:rPr>
        <w:t>附件</w:t>
      </w:r>
      <w:r>
        <w:rPr>
          <w:rFonts w:ascii="宋体" w:hAnsi="宋体" w:cs="宋体" w:eastAsia="宋体"/>
          <w:sz w:val="24"/>
          <w:color w:val="000000"/>
        </w:rPr>
        <w:t>1</w:t>
      </w:r>
      <w:r>
        <w:rPr>
          <w:rFonts w:ascii="宋体" w:hAnsi="宋体" w:cs="宋体" w:eastAsia="宋体"/>
          <w:sz w:val="24"/>
          <w:color w:val="000000"/>
        </w:rPr>
        <w:t>：</w:t>
      </w:r>
    </w:p>
    <w:p>
      <w:pPr>
        <w:pStyle w:val="null3"/>
        <w:ind w:firstLine="645"/>
        <w:jc w:val="center"/>
      </w:pPr>
      <w:r>
        <w:rPr>
          <w:rFonts w:ascii="宋体" w:hAnsi="宋体" w:cs="宋体" w:eastAsia="宋体"/>
          <w:sz w:val="24"/>
          <w:b/>
          <w:color w:val="000000"/>
        </w:rPr>
        <w:t>关于串标情形及后果的告知函</w:t>
      </w:r>
    </w:p>
    <w:p>
      <w:pPr>
        <w:pStyle w:val="null3"/>
      </w:pPr>
      <w:r>
        <w:rPr>
          <w:rFonts w:ascii="宋体" w:hAnsi="宋体" w:cs="宋体" w:eastAsia="宋体"/>
          <w:sz w:val="21"/>
          <w:color w:val="000000"/>
        </w:rPr>
        <w:t>致各投标</w:t>
      </w:r>
      <w:r>
        <w:rPr>
          <w:rFonts w:ascii="宋体" w:hAnsi="宋体" w:cs="宋体" w:eastAsia="宋体"/>
          <w:sz w:val="24"/>
          <w:color w:val="000000"/>
        </w:rPr>
        <w:t>人：</w:t>
      </w:r>
    </w:p>
    <w:p>
      <w:pPr>
        <w:pStyle w:val="null3"/>
      </w:pPr>
      <w:r>
        <w:rPr>
          <w:rFonts w:ascii="宋体" w:hAnsi="宋体" w:cs="宋体" w:eastAsia="宋体"/>
          <w:sz w:val="24"/>
          <w:color w:val="000000"/>
        </w:rPr>
        <w:t xml:space="preserve">  </w:t>
      </w:r>
      <w:r>
        <w:rPr>
          <w:rFonts w:ascii="宋体" w:hAnsi="宋体" w:cs="宋体" w:eastAsia="宋体"/>
          <w:sz w:val="24"/>
          <w:color w:val="000000"/>
        </w:rPr>
        <w:t>根据《厦门市财政局关于加强涉嫌串通投标情形处理的通知》要求，现将有关恶意串通、视为串通情形及供应商需承担的后果列明如下，请各供应商仔细阅读，如在参与本项目采购活动中存在串通投标情形，将依法承担相应责任：</w:t>
      </w:r>
    </w:p>
    <w:p>
      <w:pPr>
        <w:pStyle w:val="null3"/>
      </w:pPr>
      <w:r>
        <w:rPr>
          <w:rFonts w:ascii="宋体" w:hAnsi="宋体" w:cs="宋体" w:eastAsia="宋体"/>
          <w:sz w:val="24"/>
          <w:b/>
          <w:color w:val="000000"/>
        </w:rPr>
        <w:t>一、恶意串通情形</w:t>
      </w:r>
    </w:p>
    <w:p>
      <w:pPr>
        <w:pStyle w:val="null3"/>
        <w:ind w:firstLine="315"/>
      </w:pPr>
      <w:r>
        <w:rPr>
          <w:rFonts w:ascii="宋体" w:hAnsi="宋体" w:cs="宋体" w:eastAsia="宋体"/>
          <w:sz w:val="24"/>
          <w:b/>
          <w:color w:val="000000"/>
        </w:rPr>
        <w:t>《政府采购法实施条例》第七十四条：有下列情形之一的，属于恶意串通：</w:t>
      </w:r>
    </w:p>
    <w:p>
      <w:pPr>
        <w:pStyle w:val="null3"/>
        <w:ind w:firstLine="315"/>
      </w:pPr>
      <w:r>
        <w:rPr>
          <w:rFonts w:ascii="宋体" w:hAnsi="宋体" w:cs="宋体" w:eastAsia="宋体"/>
          <w:sz w:val="24"/>
          <w:color w:val="000000"/>
        </w:rPr>
        <w:t>（一）供应商直接或者间接从采购人或者采购代理机构处获得其他供应商的相关情况并修改其投标文件或者响应文件；</w:t>
      </w:r>
    </w:p>
    <w:p>
      <w:pPr>
        <w:pStyle w:val="null3"/>
        <w:ind w:firstLine="315"/>
      </w:pPr>
      <w:r>
        <w:rPr>
          <w:rFonts w:ascii="宋体" w:hAnsi="宋体" w:cs="宋体" w:eastAsia="宋体"/>
          <w:sz w:val="24"/>
          <w:color w:val="000000"/>
        </w:rPr>
        <w:t>（二）供应商按照采购人或者采购代理机构的授意撤换、修改投标文件或者响应文件；</w:t>
      </w:r>
    </w:p>
    <w:p>
      <w:pPr>
        <w:pStyle w:val="null3"/>
        <w:ind w:firstLine="315"/>
      </w:pPr>
      <w:r>
        <w:rPr>
          <w:rFonts w:ascii="宋体" w:hAnsi="宋体" w:cs="宋体" w:eastAsia="宋体"/>
          <w:sz w:val="24"/>
          <w:color w:val="000000"/>
        </w:rPr>
        <w:t>（三）供应商之间协商报价、技术方案等投标文件或者响应文件的实质性内容；</w:t>
      </w:r>
    </w:p>
    <w:p>
      <w:pPr>
        <w:pStyle w:val="null3"/>
        <w:ind w:firstLine="315"/>
      </w:pPr>
      <w:r>
        <w:rPr>
          <w:rFonts w:ascii="宋体" w:hAnsi="宋体" w:cs="宋体" w:eastAsia="宋体"/>
          <w:sz w:val="24"/>
          <w:color w:val="000000"/>
        </w:rPr>
        <w:t>（四）属于同一集团、协会、商会等组织成员的供应商按照该组织要求协同参加政府采购活动；</w:t>
      </w:r>
    </w:p>
    <w:p>
      <w:pPr>
        <w:pStyle w:val="null3"/>
        <w:ind w:firstLine="315"/>
      </w:pPr>
      <w:r>
        <w:rPr>
          <w:rFonts w:ascii="宋体" w:hAnsi="宋体" w:cs="宋体" w:eastAsia="宋体"/>
          <w:sz w:val="24"/>
          <w:color w:val="000000"/>
        </w:rPr>
        <w:t>（五）供应商之间事先约定由某一特定供应商中标、成交；</w:t>
      </w:r>
    </w:p>
    <w:p>
      <w:pPr>
        <w:pStyle w:val="null3"/>
        <w:ind w:firstLine="315"/>
      </w:pPr>
      <w:r>
        <w:rPr>
          <w:rFonts w:ascii="宋体" w:hAnsi="宋体" w:cs="宋体" w:eastAsia="宋体"/>
          <w:sz w:val="24"/>
          <w:color w:val="000000"/>
        </w:rPr>
        <w:t>（六）供应商之间商定部分供应商放弃参加政府采购活动或者放弃中标、成交；</w:t>
      </w:r>
    </w:p>
    <w:p>
      <w:pPr>
        <w:pStyle w:val="null3"/>
        <w:ind w:firstLine="315"/>
      </w:pPr>
      <w:r>
        <w:rPr>
          <w:rFonts w:ascii="宋体" w:hAnsi="宋体" w:cs="宋体" w:eastAsia="宋体"/>
          <w:sz w:val="24"/>
          <w:color w:val="000000"/>
        </w:rPr>
        <w:t>（七）供应商与采购人或者采购代理机构之间、供应商相互之间，为谋求特定供应商中标、成交或者排斥其他供应商的其他串通行为。</w:t>
      </w:r>
    </w:p>
    <w:p>
      <w:pPr>
        <w:pStyle w:val="null3"/>
      </w:pPr>
      <w:r>
        <w:rPr>
          <w:rFonts w:ascii="宋体" w:hAnsi="宋体" w:cs="宋体" w:eastAsia="宋体"/>
          <w:sz w:val="24"/>
          <w:b/>
          <w:color w:val="000000"/>
        </w:rPr>
        <w:t>二、视为串通情形</w:t>
      </w:r>
    </w:p>
    <w:p>
      <w:pPr>
        <w:pStyle w:val="null3"/>
        <w:ind w:firstLine="315"/>
      </w:pPr>
      <w:r>
        <w:rPr>
          <w:rFonts w:ascii="宋体" w:hAnsi="宋体" w:cs="宋体" w:eastAsia="宋体"/>
          <w:sz w:val="24"/>
          <w:b/>
          <w:color w:val="000000"/>
        </w:rPr>
        <w:t>《政府采购货物和服务招标投标管理办法》（财政部令第</w:t>
      </w:r>
      <w:r>
        <w:rPr>
          <w:rFonts w:ascii="宋体" w:hAnsi="宋体" w:cs="宋体" w:eastAsia="宋体"/>
          <w:sz w:val="24"/>
          <w:b/>
          <w:color w:val="000000"/>
        </w:rPr>
        <w:t>87号）第三十七条：有下列情形之一的，视为投标人串通投标，其投标无效：</w:t>
      </w:r>
    </w:p>
    <w:p>
      <w:pPr>
        <w:pStyle w:val="null3"/>
        <w:ind w:firstLine="315"/>
      </w:pPr>
      <w:r>
        <w:rPr>
          <w:rFonts w:ascii="宋体" w:hAnsi="宋体" w:cs="宋体" w:eastAsia="宋体"/>
          <w:sz w:val="24"/>
          <w:color w:val="000000"/>
        </w:rPr>
        <w:t>（一）不同投标人的投标文件由同一单位或者个人编制；</w:t>
      </w:r>
    </w:p>
    <w:p>
      <w:pPr>
        <w:pStyle w:val="null3"/>
        <w:ind w:firstLine="315"/>
      </w:pPr>
      <w:r>
        <w:rPr>
          <w:rFonts w:ascii="宋体" w:hAnsi="宋体" w:cs="宋体" w:eastAsia="宋体"/>
          <w:sz w:val="24"/>
          <w:color w:val="000000"/>
        </w:rPr>
        <w:t>（二）不同投标人委托同一单位或者个人办理投标事宜；</w:t>
      </w:r>
    </w:p>
    <w:p>
      <w:pPr>
        <w:pStyle w:val="null3"/>
      </w:pPr>
      <w:r>
        <w:rPr>
          <w:rFonts w:ascii="宋体" w:hAnsi="宋体" w:cs="宋体" w:eastAsia="宋体"/>
          <w:sz w:val="24"/>
          <w:color w:val="000000"/>
        </w:rPr>
        <w:t>（三）不同投标人的投标文件载明的项目管理成员或者联系人员为同一人；（四）不同投标人的投标文件异常一致或者投标报价呈规律性差异；</w:t>
      </w:r>
    </w:p>
    <w:p>
      <w:pPr>
        <w:pStyle w:val="null3"/>
      </w:pPr>
      <w:r>
        <w:rPr>
          <w:rFonts w:ascii="宋体" w:hAnsi="宋体" w:cs="宋体" w:eastAsia="宋体"/>
          <w:sz w:val="24"/>
          <w:color w:val="000000"/>
        </w:rPr>
        <w:t>（五）不同投标人的投标文件相互混装；</w:t>
      </w:r>
    </w:p>
    <w:p>
      <w:pPr>
        <w:pStyle w:val="null3"/>
      </w:pPr>
      <w:r>
        <w:rPr>
          <w:rFonts w:ascii="宋体" w:hAnsi="宋体" w:cs="宋体" w:eastAsia="宋体"/>
          <w:sz w:val="24"/>
          <w:color w:val="000000"/>
        </w:rPr>
        <w:t>（六）不同投标人的投标保证金从同一单位或者个人的账户转出。</w:t>
      </w:r>
    </w:p>
    <w:p>
      <w:pPr>
        <w:pStyle w:val="null3"/>
        <w:ind w:firstLine="315"/>
      </w:pPr>
      <w:r>
        <w:rPr>
          <w:rFonts w:ascii="宋体" w:hAnsi="宋体" w:cs="宋体" w:eastAsia="宋体"/>
          <w:sz w:val="24"/>
          <w:b/>
          <w:color w:val="000000"/>
        </w:rPr>
        <w:t>《福建省财政厅关于电子化政府采购项目中视为串标情形认定与处理的指导意见》（闽财购〔</w:t>
      </w:r>
      <w:r>
        <w:rPr>
          <w:rFonts w:ascii="宋体" w:hAnsi="宋体" w:cs="宋体" w:eastAsia="宋体"/>
          <w:sz w:val="24"/>
          <w:b/>
          <w:color w:val="000000"/>
        </w:rPr>
        <w:t>2018〕30号）</w:t>
      </w:r>
    </w:p>
    <w:p>
      <w:pPr>
        <w:pStyle w:val="null3"/>
        <w:ind w:firstLine="315"/>
      </w:pPr>
      <w:r>
        <w:rPr>
          <w:rFonts w:ascii="宋体" w:hAnsi="宋体" w:cs="宋体" w:eastAsia="宋体"/>
          <w:sz w:val="24"/>
          <w:color w:val="000000"/>
        </w:rPr>
        <w:t>（一）电子化招标项目视为串通情形的认定</w:t>
      </w:r>
    </w:p>
    <w:p>
      <w:pPr>
        <w:pStyle w:val="null3"/>
        <w:ind w:firstLine="315"/>
      </w:pPr>
      <w:r>
        <w:rPr>
          <w:rFonts w:ascii="宋体" w:hAnsi="宋体" w:cs="宋体" w:eastAsia="宋体"/>
          <w:sz w:val="24"/>
          <w:color w:val="000000"/>
        </w:rPr>
        <w:t>1、保证金验核阶段 不同投标人的投标保证金转出账户的银行账户名 称相同的，属于《政府采购货物和服务招标投标管理办法》（财政部令第87号）第三十七条第（六）项“不同投标人的投标保证金从同一单位或者个人的账户转出”的情形。</w:t>
      </w:r>
    </w:p>
    <w:p>
      <w:pPr>
        <w:pStyle w:val="null3"/>
        <w:ind w:firstLine="315"/>
      </w:pPr>
      <w:r>
        <w:rPr>
          <w:rFonts w:ascii="宋体" w:hAnsi="宋体" w:cs="宋体" w:eastAsia="宋体"/>
          <w:sz w:val="24"/>
          <w:color w:val="000000"/>
        </w:rPr>
        <w:t>2、电子响应文件解密阶段 电子响应文件的个性特征与本采购项目的其他响应人存在雷同的，按照以下方式进行认定：</w:t>
      </w:r>
    </w:p>
    <w:p>
      <w:pPr>
        <w:pStyle w:val="null3"/>
        <w:ind w:firstLine="315"/>
      </w:pPr>
      <w:r>
        <w:rPr>
          <w:rFonts w:ascii="宋体" w:hAnsi="宋体" w:cs="宋体" w:eastAsia="宋体"/>
          <w:sz w:val="24"/>
          <w:color w:val="000000"/>
        </w:rPr>
        <w:t>（</w:t>
      </w:r>
      <w:r>
        <w:rPr>
          <w:rFonts w:ascii="宋体" w:hAnsi="宋体" w:cs="宋体" w:eastAsia="宋体"/>
          <w:sz w:val="24"/>
          <w:color w:val="000000"/>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ind w:firstLine="315"/>
      </w:pPr>
      <w:r>
        <w:rPr>
          <w:rFonts w:ascii="宋体" w:hAnsi="宋体" w:cs="宋体" w:eastAsia="宋体"/>
          <w:sz w:val="24"/>
          <w:color w:val="000000"/>
        </w:rPr>
        <w:t>（</w:t>
      </w:r>
      <w:r>
        <w:rPr>
          <w:rFonts w:ascii="宋体" w:hAnsi="宋体" w:cs="宋体" w:eastAsia="宋体"/>
          <w:sz w:val="24"/>
          <w:color w:val="000000"/>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ind w:firstLine="315"/>
      </w:pPr>
      <w:r>
        <w:rPr>
          <w:rFonts w:ascii="宋体" w:hAnsi="宋体" w:cs="宋体" w:eastAsia="宋体"/>
          <w:sz w:val="24"/>
          <w:color w:val="000000"/>
        </w:rPr>
        <w:t>（</w:t>
      </w:r>
      <w:r>
        <w:rPr>
          <w:rFonts w:ascii="宋体" w:hAnsi="宋体" w:cs="宋体" w:eastAsia="宋体"/>
          <w:sz w:val="24"/>
          <w:color w:val="000000"/>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ind w:firstLine="315"/>
      </w:pPr>
      <w:r>
        <w:rPr>
          <w:rFonts w:ascii="宋体" w:hAnsi="宋体" w:cs="宋体" w:eastAsia="宋体"/>
          <w:sz w:val="24"/>
          <w:color w:val="000000"/>
        </w:rPr>
        <w:t>（二）电子化非招标项目视为串通情形的认定</w:t>
      </w:r>
    </w:p>
    <w:p>
      <w:pPr>
        <w:pStyle w:val="null3"/>
        <w:ind w:firstLine="315"/>
      </w:pPr>
      <w:r>
        <w:rPr>
          <w:rFonts w:ascii="宋体" w:hAnsi="宋体" w:cs="宋体" w:eastAsia="宋体"/>
          <w:sz w:val="24"/>
          <w:color w:val="000000"/>
        </w:rPr>
        <w:t>电子化非招标项目（包括竞争性谈判、竞争性磋商、询价）中出现本意见第一点所列情形的，属于《中华人民共和国政府采购法实施条例》第七十四条第（七）项</w:t>
      </w:r>
      <w:r>
        <w:rPr>
          <w:rFonts w:ascii="宋体" w:hAnsi="宋体" w:cs="宋体" w:eastAsia="宋体"/>
          <w:sz w:val="24"/>
          <w:color w:val="000000"/>
        </w:rPr>
        <w:t>“供 应商与采购人或者采购代 理机构之间、供 应商相互之间，为谋求特定供 应商中标、成交或者排斥其他供 应商的其他串通行为”。</w:t>
      </w:r>
    </w:p>
    <w:p>
      <w:pPr>
        <w:pStyle w:val="null3"/>
        <w:ind w:firstLine="240"/>
      </w:pPr>
      <w:r>
        <w:rPr>
          <w:rFonts w:ascii="宋体" w:hAnsi="宋体" w:cs="宋体" w:eastAsia="宋体"/>
          <w:sz w:val="24"/>
          <w:b/>
          <w:color w:val="000000"/>
        </w:rPr>
        <w:t>《福建省财政厅关于福建省省级政府采购货物和服务项目招标文件编制指引和实施指引的补充通知（三）》（闽财购〔</w:t>
      </w:r>
      <w:r>
        <w:rPr>
          <w:rFonts w:ascii="宋体" w:hAnsi="宋体" w:cs="宋体" w:eastAsia="宋体"/>
          <w:sz w:val="24"/>
          <w:b/>
          <w:color w:val="000000"/>
        </w:rPr>
        <w:t>2010〕28号）</w:t>
      </w:r>
    </w:p>
    <w:p>
      <w:pPr>
        <w:pStyle w:val="null3"/>
      </w:pPr>
      <w:r>
        <w:rPr>
          <w:rFonts w:ascii="宋体" w:hAnsi="宋体" w:cs="宋体" w:eastAsia="宋体"/>
          <w:sz w:val="24"/>
          <w:color w:val="000000"/>
        </w:rPr>
        <w:t>评标委员会在评标过程中发现投标人存在下列情形之一的，可认定其有串通</w:t>
      </w:r>
    </w:p>
    <w:p>
      <w:pPr>
        <w:pStyle w:val="null3"/>
      </w:pPr>
      <w:r>
        <w:rPr>
          <w:rFonts w:ascii="宋体" w:hAnsi="宋体" w:cs="宋体" w:eastAsia="宋体"/>
          <w:sz w:val="24"/>
          <w:color w:val="000000"/>
        </w:rPr>
        <w:t>投标行为，并做出其投标无效的决定：</w:t>
      </w:r>
    </w:p>
    <w:p>
      <w:pPr>
        <w:pStyle w:val="null3"/>
      </w:pPr>
      <w:r>
        <w:rPr>
          <w:rFonts w:ascii="宋体" w:hAnsi="宋体" w:cs="宋体" w:eastAsia="宋体"/>
          <w:sz w:val="24"/>
          <w:color w:val="000000"/>
        </w:rPr>
        <w:t>（一）不同投标人的投标文件错、漏之处一致或雷同，且不能合理解释的；</w:t>
      </w:r>
    </w:p>
    <w:p>
      <w:pPr>
        <w:pStyle w:val="null3"/>
      </w:pPr>
      <w:r>
        <w:rPr>
          <w:rFonts w:ascii="宋体" w:hAnsi="宋体" w:cs="宋体" w:eastAsia="宋体"/>
          <w:sz w:val="24"/>
          <w:color w:val="000000"/>
        </w:rPr>
        <w:t>（二）不同的投标人的法定代表人、委托代理人等由同一个单位缴纳社会保险的；</w:t>
      </w:r>
    </w:p>
    <w:p>
      <w:pPr>
        <w:pStyle w:val="null3"/>
      </w:pPr>
      <w:r>
        <w:rPr>
          <w:rFonts w:ascii="宋体" w:hAnsi="宋体" w:cs="宋体" w:eastAsia="宋体"/>
          <w:sz w:val="24"/>
          <w:color w:val="000000"/>
        </w:rPr>
        <w:t>（三）由同一人或分别由几个有利害关系人携带两个以上（含两个）投标人的企业资料参与资格审查、领取招标资料，或代表两个以上（含两个）投标人参加招标答疑会、交纳或退还投标保证金、开标的；</w:t>
      </w:r>
    </w:p>
    <w:p>
      <w:pPr>
        <w:pStyle w:val="null3"/>
      </w:pPr>
      <w:r>
        <w:rPr>
          <w:rFonts w:ascii="宋体" w:hAnsi="宋体" w:cs="宋体" w:eastAsia="宋体"/>
          <w:sz w:val="24"/>
          <w:color w:val="000000"/>
        </w:rPr>
        <w:t>（四）有关法律、法规或规章规定的其他串通投标行为。</w:t>
      </w:r>
    </w:p>
    <w:p>
      <w:pPr>
        <w:pStyle w:val="null3"/>
      </w:pPr>
      <w:r>
        <w:rPr>
          <w:rFonts w:ascii="宋体" w:hAnsi="宋体" w:cs="宋体" w:eastAsia="宋体"/>
          <w:sz w:val="24"/>
          <w:b/>
          <w:color w:val="000000"/>
        </w:rPr>
        <w:t>三、供应商需承担的后果</w:t>
      </w:r>
    </w:p>
    <w:p>
      <w:pPr>
        <w:pStyle w:val="null3"/>
        <w:ind w:firstLine="480"/>
      </w:pPr>
      <w:r>
        <w:rPr>
          <w:rFonts w:ascii="宋体" w:hAnsi="宋体" w:cs="宋体" w:eastAsia="宋体"/>
          <w:sz w:val="24"/>
          <w:color w:val="000000"/>
        </w:rPr>
        <w:t>1、《政府采购法》第七十七条：供 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（三）与采购人、其他供 应商或者采购代 理机构恶意串通的； 供 应商有前款第（一）至（五）项情形之一的，中标、成交无效。</w:t>
      </w:r>
    </w:p>
    <w:p>
      <w:pPr>
        <w:pStyle w:val="null3"/>
        <w:ind w:firstLine="480"/>
      </w:pPr>
      <w:r>
        <w:rPr>
          <w:rFonts w:ascii="宋体" w:hAnsi="宋体" w:cs="宋体" w:eastAsia="宋体"/>
          <w:sz w:val="24"/>
          <w:color w:val="000000"/>
        </w:rPr>
        <w:t>2、《政府采购非招标采购方式管理办法》（财政部令第74号）第二十条：有下列情形之一的，保证金不予退还： （四）供 应商与采购人、其他供 应商或者采购代 理机构恶意串通的；</w:t>
      </w:r>
    </w:p>
    <w:p>
      <w:pPr>
        <w:pStyle w:val="null3"/>
        <w:ind w:firstLine="315"/>
      </w:pPr>
      <w:r>
        <w:rPr>
          <w:rFonts w:ascii="宋体" w:hAnsi="宋体" w:cs="宋体" w:eastAsia="宋体"/>
          <w:sz w:val="24"/>
          <w:color w:val="000000"/>
        </w:rPr>
        <w:t>3、《政府采购竞争性磋商采购方式管理暂行办法》（财库〔2014〕214号）第三十一条：有下列情形之一的，磋商保证金不予退还： （四）供 应商与采购人、其他供 应商或者采购代 理机构恶意串通的；</w:t>
      </w:r>
    </w:p>
    <w:p>
      <w:pPr>
        <w:pStyle w:val="null3"/>
      </w:pPr>
      <w:r>
        <w:rPr>
          <w:rFonts w:ascii="宋体" w:hAnsi="宋体" w:cs="宋体" w:eastAsia="宋体"/>
          <w:sz w:val="24"/>
          <w:color w:val="000000"/>
        </w:rPr>
        <w:t>4、《福建省财政厅关于电子化政府采购项目中视为串标情形认定与处理的指导意见》（闽财购〔2018〕30号） 在开标过程中，发现投标（响应）人有上述情形的，采购人、采购代 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pPr>
      <w:r>
        <w:rPr>
          <w:rFonts w:ascii="宋体" w:hAnsi="宋体" w:cs="宋体" w:eastAsia="宋体"/>
          <w:sz w:val="24"/>
          <w:color w:val="000000"/>
        </w:rPr>
        <w:t>附件</w:t>
      </w:r>
      <w:r>
        <w:rPr>
          <w:rFonts w:ascii="宋体" w:hAnsi="宋体" w:cs="宋体" w:eastAsia="宋体"/>
          <w:sz w:val="24"/>
          <w:color w:val="000000"/>
        </w:rPr>
        <w:t>2</w:t>
      </w:r>
      <w:r>
        <w:rPr>
          <w:rFonts w:ascii="宋体" w:hAnsi="宋体" w:cs="宋体" w:eastAsia="宋体"/>
          <w:sz w:val="24"/>
          <w:color w:val="000000"/>
        </w:rPr>
        <w:t>：</w:t>
      </w:r>
    </w:p>
    <w:p>
      <w:pPr>
        <w:pStyle w:val="null3"/>
        <w:ind w:firstLine="3120"/>
      </w:pPr>
      <w:r>
        <w:rPr>
          <w:rFonts w:ascii="宋体" w:hAnsi="宋体" w:cs="宋体" w:eastAsia="宋体"/>
          <w:sz w:val="24"/>
          <w:color w:val="000000"/>
        </w:rPr>
        <w:t>招标</w:t>
      </w:r>
      <w:r>
        <w:rPr>
          <w:rFonts w:ascii="宋体" w:hAnsi="宋体" w:cs="宋体" w:eastAsia="宋体"/>
          <w:sz w:val="24"/>
          <w:color w:val="000000"/>
        </w:rPr>
        <w:t>文件远程开标事项</w:t>
      </w:r>
    </w:p>
    <w:p>
      <w:pPr>
        <w:pStyle w:val="null3"/>
      </w:pPr>
      <w:r>
        <w:rPr>
          <w:rFonts w:ascii="宋体" w:hAnsi="宋体" w:cs="宋体" w:eastAsia="宋体"/>
          <w:sz w:val="24"/>
          <w:color w:val="000000"/>
        </w:rPr>
        <w:t>一、本项目采用</w:t>
      </w:r>
      <w:r>
        <w:rPr>
          <w:rFonts w:ascii="宋体" w:hAnsi="宋体" w:cs="宋体" w:eastAsia="宋体"/>
          <w:sz w:val="24"/>
          <w:color w:val="000000"/>
        </w:rPr>
        <w:t>“远程开标”，投标人可到开标现场，也可不到开标现场，由投标人自行决定。</w:t>
      </w:r>
    </w:p>
    <w:p>
      <w:pPr>
        <w:pStyle w:val="null3"/>
        <w:ind w:firstLine="640"/>
      </w:pPr>
      <w:r>
        <w:rPr>
          <w:rFonts w:ascii="宋体" w:hAnsi="宋体" w:cs="宋体" w:eastAsia="宋体"/>
          <w:sz w:val="24"/>
          <w:color w:val="000000"/>
        </w:rPr>
        <w:t>二、投标人不到开标现场的，请在福建省政府采购网厦门分网</w:t>
      </w:r>
      <w:r>
        <w:rPr>
          <w:rFonts w:ascii="宋体" w:hAnsi="宋体" w:cs="宋体" w:eastAsia="宋体"/>
          <w:sz w:val="24"/>
          <w:color w:val="000000"/>
        </w:rPr>
        <w:t>“服务专区/下载专区/资料下载”中，下载《远程开标操作手册》，在开标时自行登录采购系统，线上观看开标过程，并按要求在开标时段对投标文件进行远程解密、远程签章。</w:t>
      </w:r>
    </w:p>
    <w:p>
      <w:pPr>
        <w:pStyle w:val="null3"/>
        <w:ind w:firstLine="640"/>
      </w:pPr>
      <w:r>
        <w:rPr>
          <w:rFonts w:ascii="宋体" w:hAnsi="宋体" w:cs="宋体" w:eastAsia="宋体"/>
          <w:sz w:val="24"/>
          <w:color w:val="000000"/>
        </w:rPr>
        <w:t>三、投标人应确保自身设施、设备、网络状况良好，提请了解熟悉远程开标流程，因投标人自身原因造成无法正常观看开标过程、远程解密或签章的，后果由投标人自行承担。</w:t>
      </w:r>
    </w:p>
    <w:p>
      <w:pPr>
        <w:pStyle w:val="null3"/>
        <w:ind w:firstLine="640"/>
      </w:pPr>
      <w:r>
        <w:rPr>
          <w:rFonts w:ascii="宋体" w:hAnsi="宋体" w:cs="宋体" w:eastAsia="宋体"/>
          <w:sz w:val="24"/>
          <w:color w:val="000000"/>
        </w:rPr>
        <w:t>四、在规定的时间内正确提交电子投标文件的投标人在开标时将由系统判断签到情况，具体信息以福建省政府采购网上公开信息系统所示为准。</w:t>
      </w:r>
    </w:p>
    <w:p>
      <w:pPr>
        <w:pStyle w:val="null3"/>
        <w:ind w:firstLine="640"/>
      </w:pPr>
      <w:r>
        <w:rPr>
          <w:rFonts w:ascii="宋体" w:hAnsi="宋体" w:cs="宋体" w:eastAsia="宋体"/>
          <w:sz w:val="24"/>
          <w:color w:val="000000"/>
        </w:rPr>
        <w:t>五、投标人应在远程解密开启后在规定时间内使用</w:t>
      </w:r>
      <w:r>
        <w:rPr>
          <w:rFonts w:ascii="宋体" w:hAnsi="宋体" w:cs="宋体" w:eastAsia="宋体"/>
          <w:sz w:val="24"/>
          <w:color w:val="000000"/>
        </w:rPr>
        <w:t>CA数字证书（应与投标文件加密时所用CA证书一致）进行投标文件的解密操作，逾期未解密的视为放弃投标。</w:t>
      </w:r>
    </w:p>
    <w:p>
      <w:pPr>
        <w:pStyle w:val="null3"/>
        <w:ind w:firstLine="640"/>
      </w:pPr>
      <w:r>
        <w:rPr>
          <w:rFonts w:ascii="宋体" w:hAnsi="宋体" w:cs="宋体" w:eastAsia="宋体"/>
          <w:sz w:val="24"/>
          <w:color w:val="000000"/>
        </w:rPr>
        <w:t>六、唱标结束后，投标人可对开标结果进行签章，并在远程签章开放后规定时间内完成，逾期未签章的视同认可开标结果。</w:t>
      </w:r>
    </w:p>
    <w:p>
      <w:pPr>
        <w:pStyle w:val="null3"/>
        <w:ind w:firstLine="640"/>
      </w:pPr>
      <w:r>
        <w:rPr>
          <w:rFonts w:ascii="宋体" w:hAnsi="宋体" w:cs="宋体" w:eastAsia="宋体"/>
          <w:sz w:val="24"/>
          <w:color w:val="000000"/>
        </w:rPr>
        <w:t>七、开、评标期间，投标人代表应保证采购系统中预留的联系方式畅通，以便随时接收并答复评标委员会发起的澄清等事项。</w:t>
      </w:r>
    </w:p>
    <w:p>
      <w:pPr>
        <w:pStyle w:val="null3"/>
        <w:ind w:firstLine="640"/>
      </w:pPr>
      <w:r>
        <w:rPr>
          <w:rFonts w:ascii="宋体" w:hAnsi="宋体" w:cs="宋体" w:eastAsia="宋体"/>
          <w:sz w:val="24"/>
          <w:color w:val="000000"/>
        </w:rPr>
        <w:t>八、在操作过程中如有疑问请咨询技术人员（</w:t>
      </w:r>
      <w:r>
        <w:rPr>
          <w:rFonts w:ascii="宋体" w:hAnsi="宋体" w:cs="宋体" w:eastAsia="宋体"/>
          <w:sz w:val="24"/>
          <w:color w:val="000000"/>
        </w:rPr>
        <w:t>400-1612-666、0592-2858142）或采购代理机构工作人员。</w:t>
      </w:r>
    </w:p>
    <w:p>
      <w:pPr>
        <w:pStyle w:val="null3"/>
        <w:jc w:val="both"/>
        <w:outlineLvl w:val="2"/>
      </w:pPr>
      <w:r>
        <w:rPr>
          <w:sz w:val="28"/>
          <w:b/>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2.1本项目支持供应 商办理政府采购合同融资（即政采贷），具体相关政策详见《关于促进中小企业政府采购合同融资健康开展的通知》（闽财购函〔2019〕16 号）等政策，投标人中 标 后如需融资，可通过“福建省政府采购合同融资信息服务平台”（网址：http://120.35.30.176/zcdproject/home）办理“政采贷”。</w:t>
      </w:r>
    </w:p>
    <w:p>
      <w:pPr>
        <w:pStyle w:val="null3"/>
      </w:pPr>
      <w:r>
        <w:rPr/>
        <w:t xml:space="preserve"> </w:t>
        <w:br/>
        <w:br w:type="page"/>
      </w:r>
    </w:p>
    <w:p>
      <w:pPr>
        <w:pStyle w:val="null3"/>
        <w:jc w:val="center"/>
        <w:outlineLvl w:val="1"/>
      </w:pPr>
      <w:r>
        <w:rPr>
          <w:sz w:val="36"/>
          <w:b/>
        </w:rPr>
        <w:t>第六章 政府采购合同</w:t>
      </w:r>
    </w:p>
    <w:p>
      <w:pPr>
        <w:pStyle w:val="null3"/>
        <w:jc w:val="center"/>
        <w:outlineLvl w:val="2"/>
      </w:pPr>
      <w:r>
        <w:rPr>
          <w:sz w:val="28"/>
          <w:b/>
        </w:rPr>
        <w:t>参考文本</w:t>
      </w:r>
    </w:p>
    <w:p>
      <w:pPr>
        <w:pStyle w:val="null3"/>
        <w:jc w:val="left"/>
      </w:pPr>
      <w:r>
        <w:rPr/>
        <w:t>合同编号：</w:t>
      </w:r>
    </w:p>
    <w:p>
      <w:pPr>
        <w:pStyle w:val="null3"/>
        <w:jc w:val="center"/>
        <w:outlineLvl w:val="1"/>
      </w:pPr>
      <w:r>
        <w:rPr>
          <w:sz w:val="36"/>
          <w:b/>
        </w:rPr>
        <w:t xml:space="preserve"> 福建省政府采购合同（服务类）</w:t>
      </w:r>
    </w:p>
    <w:p>
      <w:pPr>
        <w:pStyle w:val="null3"/>
        <w:jc w:val="center"/>
        <w:outlineLvl w:val="3"/>
      </w:pPr>
      <w:r>
        <w:rPr>
          <w:sz w:val="24"/>
          <w:b/>
        </w:rPr>
        <w:t>编制说明</w:t>
      </w:r>
      <w:r>
        <w:br/>
      </w:r>
    </w:p>
    <w:p>
      <w:pPr>
        <w:pStyle w:val="null3"/>
        <w:jc w:val="left"/>
        <w:outlineLvl w:val="3"/>
      </w:pPr>
      <w:r>
        <w:rPr>
          <w:sz w:val="24"/>
          <w:b/>
        </w:rPr>
        <w:t xml:space="preserve"> 1.签订合同应遵守《中华人民共和国政府采购法》及其实施条例、《中华人民共和国民法典》等法律法规及其他有关规定。</w:t>
      </w:r>
    </w:p>
    <w:p>
      <w:pPr>
        <w:pStyle w:val="null3"/>
        <w:jc w:val="left"/>
        <w:outlineLvl w:val="3"/>
      </w:pPr>
      <w:r>
        <w:rPr>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sz w:val="24"/>
          <w:b/>
        </w:rPr>
        <w:t xml:space="preserve"> 3.政府有关主管部门对若干合同有规范文本的，可使用相应合同文本。</w:t>
      </w:r>
    </w:p>
    <w:p>
      <w:pPr>
        <w:pStyle w:val="null3"/>
        <w:jc w:val="left"/>
        <w:outlineLvl w:val="3"/>
      </w:pPr>
      <w:r>
        <w:rPr>
          <w:sz w:val="24"/>
          <w:b/>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sz w:val="24"/>
          <w:b/>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sz w:val="24"/>
          <w:b/>
        </w:rPr>
        <w:t xml:space="preserve"> 二、合同标的</w:t>
      </w:r>
      <w:r>
        <w:br/>
      </w:r>
    </w:p>
    <w:p>
      <w:pPr>
        <w:pStyle w:val="null3"/>
        <w:jc w:val="left"/>
        <w:outlineLvl w:val="3"/>
      </w:pPr>
      <w:r>
        <w:rPr>
          <w:sz w:val="24"/>
          <w:b/>
        </w:rPr>
        <w:t xml:space="preserve"> 三、价格形式及合同价款</w:t>
      </w:r>
    </w:p>
    <w:p>
      <w:pPr>
        <w:pStyle w:val="null3"/>
        <w:jc w:val="left"/>
        <w:outlineLvl w:val="4"/>
      </w:pPr>
      <w:r>
        <w:rPr>
          <w:sz w:val="20"/>
          <w:b/>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sz w:val="20"/>
          <w:b/>
        </w:rPr>
        <w:t xml:space="preserve"> 3.2合同价款包含范围</w:t>
      </w:r>
    </w:p>
    <w:p>
      <w:pPr>
        <w:pStyle w:val="null3"/>
        <w:jc w:val="left"/>
        <w:outlineLvl w:val="4"/>
      </w:pPr>
      <w:r>
        <w:rPr>
          <w:sz w:val="20"/>
          <w:b/>
        </w:rPr>
        <w:t xml:space="preserve"> 3.3其他需说明的事项：</w:t>
      </w:r>
    </w:p>
    <w:p>
      <w:pPr>
        <w:pStyle w:val="null3"/>
        <w:jc w:val="left"/>
        <w:outlineLvl w:val="3"/>
      </w:pPr>
      <w:r>
        <w:rPr>
          <w:sz w:val="24"/>
          <w:b/>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sz w:val="24"/>
          <w:b/>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sz w:val="24"/>
          <w:b/>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sz w:val="24"/>
          <w:b/>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sz w:val="24"/>
          <w:b/>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sz w:val="24"/>
          <w:b/>
        </w:rPr>
        <w:t xml:space="preserve"> 九、资金支付方式、时间和条件</w:t>
      </w:r>
      <w:r>
        <w:br/>
      </w:r>
    </w:p>
    <w:p>
      <w:pPr>
        <w:pStyle w:val="null3"/>
        <w:jc w:val="left"/>
        <w:outlineLvl w:val="3"/>
      </w:pPr>
      <w:r>
        <w:rPr>
          <w:sz w:val="24"/>
          <w:b/>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sz w:val="24"/>
          <w:b/>
        </w:rPr>
        <w:t xml:space="preserve"> 十一、合同期限</w:t>
      </w:r>
      <w:r>
        <w:br/>
      </w:r>
    </w:p>
    <w:p>
      <w:pPr>
        <w:pStyle w:val="null3"/>
        <w:jc w:val="left"/>
        <w:outlineLvl w:val="3"/>
      </w:pPr>
      <w:r>
        <w:rPr>
          <w:sz w:val="24"/>
          <w:b/>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sz w:val="24"/>
          <w:b/>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sz w:val="24"/>
          <w:b/>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sz w:val="24"/>
          <w:b/>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sz w:val="24"/>
          <w:b/>
        </w:rPr>
        <w:t xml:space="preserve"> 十六、合同其他条款</w:t>
      </w:r>
      <w:r>
        <w:br/>
      </w:r>
    </w:p>
    <w:p>
      <w:pPr>
        <w:pStyle w:val="null3"/>
        <w:jc w:val="left"/>
        <w:outlineLvl w:val="3"/>
      </w:pPr>
      <w:r>
        <w:rPr>
          <w:sz w:val="24"/>
          <w:b/>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sz w:val="24"/>
          <w:b/>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sz w:val="36"/>
          <w:b/>
        </w:rPr>
        <w:t>第七章 电子投标文件格式</w:t>
      </w:r>
    </w:p>
    <w:p>
      <w:pPr>
        <w:pStyle w:val="null3"/>
        <w:jc w:val="center"/>
        <w:outlineLvl w:val="2"/>
      </w:pPr>
      <w:r>
        <w:rPr>
          <w:sz w:val="28"/>
          <w:b/>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sz w:val="28"/>
          <w:b/>
        </w:rPr>
        <w:t>封面格式(资格及资信证明部分)</w:t>
      </w:r>
    </w:p>
    <w:p>
      <w:pPr>
        <w:pStyle w:val="null3"/>
        <w:jc w:val="center"/>
        <w:outlineLvl w:val="0"/>
      </w:pPr>
      <w:r>
        <w:rPr>
          <w:sz w:val="48"/>
          <w:b/>
        </w:rPr>
        <w:t>福建省政府采购投标文件</w:t>
      </w:r>
    </w:p>
    <w:p>
      <w:pPr>
        <w:pStyle w:val="null3"/>
        <w:jc w:val="center"/>
        <w:outlineLvl w:val="0"/>
      </w:pPr>
      <w:r>
        <w:rPr>
          <w:sz w:val="48"/>
          <w:b/>
        </w:rPr>
        <w:t>（资格及资信证明部分）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sz w:val="28"/>
          <w:b/>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 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sz w:val="28"/>
          <w:b/>
        </w:rPr>
        <w:t>二、投标人的资格及资信证明文件</w:t>
      </w:r>
    </w:p>
    <w:p>
      <w:pPr>
        <w:pStyle w:val="null3"/>
        <w:ind w:firstLine="960"/>
        <w:jc w:val="center"/>
        <w:outlineLvl w:val="3"/>
      </w:pPr>
      <w:r>
        <w:rPr>
          <w:sz w:val="24"/>
          <w:b/>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sz w:val="24"/>
          <w:b/>
        </w:rPr>
        <w:t>二-2 证明材料</w:t>
      </w:r>
    </w:p>
    <w:p>
      <w:pPr>
        <w:pStyle w:val="null3"/>
        <w:ind w:firstLine="480"/>
        <w:jc w:val="left"/>
      </w:pPr>
      <w:r>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sz w:val="24"/>
          <w:b/>
        </w:rPr>
        <w:t>二-2-1 福建省政府采购供应商资格承诺函</w:t>
      </w:r>
    </w:p>
    <w:p>
      <w:pPr>
        <w:pStyle w:val="null3"/>
        <w:ind w:firstLine="480"/>
        <w:jc w:val="left"/>
      </w:pPr>
      <w:r>
        <w:rPr/>
        <w:t>致：</w:t>
      </w:r>
      <w:r>
        <w:rPr>
          <w:u w:val="single"/>
        </w:rPr>
        <w:t>（采购人或采购代理机构）</w:t>
      </w:r>
    </w:p>
    <w:p>
      <w:pPr>
        <w:pStyle w:val="null3"/>
        <w:ind w:firstLine="960"/>
        <w:jc w:val="left"/>
      </w:pPr>
      <w:r>
        <w:rPr/>
        <w:t>单位名称(自然人姓名):</w:t>
      </w:r>
    </w:p>
    <w:p>
      <w:pPr>
        <w:pStyle w:val="null3"/>
        <w:ind w:firstLine="960"/>
        <w:jc w:val="left"/>
      </w:pPr>
      <w:r>
        <w:rPr/>
        <w:t>统一社会信用代码(自然人身份证号码):</w:t>
      </w:r>
    </w:p>
    <w:p>
      <w:pPr>
        <w:pStyle w:val="null3"/>
        <w:ind w:firstLine="960"/>
        <w:jc w:val="left"/>
      </w:pPr>
      <w:r>
        <w:rPr/>
        <w:t>法定代表人(负责人):</w:t>
      </w:r>
    </w:p>
    <w:p>
      <w:pPr>
        <w:pStyle w:val="null3"/>
        <w:ind w:firstLine="960"/>
        <w:jc w:val="left"/>
      </w:pPr>
      <w:r>
        <w:rPr/>
        <w:t>联系地址和电话:</w:t>
      </w:r>
    </w:p>
    <w:p>
      <w:pPr>
        <w:pStyle w:val="null3"/>
        <w:ind w:firstLine="480"/>
        <w:jc w:val="left"/>
      </w:pPr>
      <w:r>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t>一、我单位(本人)具备采购文件要求以及《中华人民共和国政府采购法》第二十二条规定的条件:</w:t>
      </w:r>
    </w:p>
    <w:p>
      <w:pPr>
        <w:pStyle w:val="null3"/>
        <w:ind w:firstLine="960"/>
        <w:jc w:val="left"/>
      </w:pPr>
      <w:r>
        <w:rPr/>
        <w:t>1.具有独立承担民事责任的能力;</w:t>
      </w:r>
    </w:p>
    <w:p>
      <w:pPr>
        <w:pStyle w:val="null3"/>
        <w:ind w:firstLine="960"/>
        <w:jc w:val="left"/>
      </w:pPr>
      <w:r>
        <w:rPr/>
        <w:t>2.具有良好的商业信誉和健全的财务会计制度;</w:t>
      </w:r>
    </w:p>
    <w:p>
      <w:pPr>
        <w:pStyle w:val="null3"/>
        <w:ind w:firstLine="960"/>
        <w:jc w:val="left"/>
      </w:pPr>
      <w:r>
        <w:rPr/>
        <w:t>3.具有履行合同所必需的设备和专业技术能力;</w:t>
      </w:r>
    </w:p>
    <w:p>
      <w:pPr>
        <w:pStyle w:val="null3"/>
        <w:ind w:firstLine="960"/>
        <w:jc w:val="left"/>
      </w:pPr>
      <w:r>
        <w:rPr/>
        <w:t>4.有依法缴纳税收和社会保障资金的良好记录;</w:t>
      </w:r>
    </w:p>
    <w:p>
      <w:pPr>
        <w:pStyle w:val="null3"/>
        <w:ind w:firstLine="960"/>
        <w:jc w:val="left"/>
      </w:pPr>
      <w:r>
        <w:rPr/>
        <w:t>5.参加政府采购活动前三年内，在经营活动中没有重大违法记录；</w:t>
      </w:r>
    </w:p>
    <w:p>
      <w:pPr>
        <w:pStyle w:val="null3"/>
        <w:ind w:firstLine="960"/>
        <w:jc w:val="left"/>
      </w:pPr>
      <w:r>
        <w:rPr/>
        <w:t>6.法律、行政法规规定的其他条件。</w:t>
      </w:r>
    </w:p>
    <w:p>
      <w:pPr>
        <w:pStyle w:val="null3"/>
        <w:ind w:firstLine="480"/>
        <w:jc w:val="left"/>
      </w:pPr>
      <w:r>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t>供应商：</w:t>
      </w:r>
      <w:r>
        <w:rPr>
          <w:u w:val="single"/>
        </w:rPr>
        <w:t>名称(单位公章):</w:t>
      </w:r>
    </w:p>
    <w:p>
      <w:pPr>
        <w:pStyle w:val="null3"/>
        <w:ind w:firstLine="480"/>
        <w:jc w:val="right"/>
      </w:pPr>
      <w:r>
        <w:rPr/>
        <w:t>日期：</w:t>
      </w:r>
      <w:r>
        <w:rPr>
          <w:u w:val="single"/>
        </w:rPr>
        <w:t>　　年　　月　　日</w:t>
      </w:r>
    </w:p>
    <w:p>
      <w:pPr>
        <w:pStyle w:val="null3"/>
        <w:ind w:firstLine="480"/>
        <w:jc w:val="left"/>
      </w:pPr>
      <w:r>
        <w:rPr/>
        <w:t>注：</w:t>
      </w:r>
    </w:p>
    <w:p>
      <w:pPr>
        <w:pStyle w:val="null3"/>
        <w:ind w:firstLine="960"/>
        <w:jc w:val="left"/>
      </w:pPr>
      <w:r>
        <w:rPr/>
        <w:t>1.我单位(本人)专指参加政府采购活动的供应商(含自然人)；</w:t>
      </w:r>
    </w:p>
    <w:p>
      <w:pPr>
        <w:pStyle w:val="null3"/>
        <w:ind w:firstLine="960"/>
        <w:jc w:val="left"/>
      </w:pPr>
      <w:r>
        <w:rPr/>
        <w:t>2.资格承诺的供应商应在投标(响应)文件中按此模板提供承诺函，否则，视为未按照招标文件规定提交投标人的资格及资信文件，按资格审查不通过处理。</w:t>
      </w:r>
    </w:p>
    <w:p>
      <w:pPr>
        <w:pStyle w:val="null3"/>
        <w:ind w:firstLine="960"/>
        <w:jc w:val="left"/>
      </w:pPr>
      <w:r>
        <w:rPr/>
        <w:t xml:space="preserve"> </w:t>
        <w:br/>
        <w:br w:type="page"/>
      </w:r>
    </w:p>
    <w:p>
      <w:pPr>
        <w:pStyle w:val="null3"/>
        <w:ind w:firstLine="960"/>
        <w:jc w:val="center"/>
        <w:outlineLvl w:val="3"/>
      </w:pPr>
      <w:r>
        <w:rPr>
          <w:sz w:val="24"/>
          <w:b/>
        </w:rPr>
        <w:t>二-2-2 资格证明材料</w:t>
      </w:r>
    </w:p>
    <w:p>
      <w:pPr>
        <w:pStyle w:val="null3"/>
        <w:ind w:firstLine="960"/>
        <w:jc w:val="center"/>
        <w:outlineLvl w:val="3"/>
      </w:pPr>
      <w:r>
        <w:rPr>
          <w:sz w:val="24"/>
          <w:b/>
        </w:rPr>
        <w:t>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二-3信用记录查询提示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sz w:val="24"/>
          <w:b/>
        </w:rPr>
        <w:t>二-4中小企业声明函</w:t>
      </w:r>
    </w:p>
    <w:p>
      <w:pPr>
        <w:pStyle w:val="null3"/>
        <w:ind w:firstLine="960"/>
        <w:jc w:val="center"/>
        <w:outlineLvl w:val="3"/>
      </w:pPr>
      <w:r>
        <w:rPr>
          <w:sz w:val="24"/>
          <w:b/>
        </w:rPr>
        <w:t>（以资格条件落实中小企业扶持政策时适用，若有）</w:t>
      </w:r>
    </w:p>
    <w:p>
      <w:pPr>
        <w:pStyle w:val="null3"/>
        <w:ind w:firstLine="960"/>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sz w:val="24"/>
          <w:b/>
        </w:rPr>
        <w:t>残疾人福利性单位声明函</w:t>
      </w:r>
    </w:p>
    <w:p>
      <w:pPr>
        <w:pStyle w:val="null3"/>
        <w:ind w:firstLine="960"/>
        <w:jc w:val="center"/>
        <w:outlineLvl w:val="3"/>
      </w:pPr>
      <w:r>
        <w:rPr>
          <w:sz w:val="24"/>
          <w:b/>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sz w:val="24"/>
          <w:b/>
        </w:rPr>
        <w:t>二-5联合体协议（若有）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sz w:val="24"/>
          <w:b/>
        </w:rPr>
        <w:t>二-6分包意向协议（若有）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sz w:val="24"/>
          <w:b/>
        </w:rPr>
        <w:t>二-7其他资格证明文件（若有）</w:t>
      </w:r>
    </w:p>
    <w:p>
      <w:pPr>
        <w:pStyle w:val="null3"/>
        <w:ind w:firstLine="960"/>
        <w:jc w:val="center"/>
        <w:outlineLvl w:val="3"/>
      </w:pPr>
      <w:r>
        <w:rPr>
          <w:sz w:val="24"/>
          <w:b/>
        </w:rPr>
        <w:t>二-7-①招标文件规定的其他资格证明文件（若有）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sz w:val="28"/>
          <w:b/>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sz w:val="28"/>
          <w:b/>
        </w:rPr>
        <w:t>封面格式(报价部分)</w:t>
      </w:r>
    </w:p>
    <w:p>
      <w:pPr>
        <w:pStyle w:val="null3"/>
        <w:jc w:val="center"/>
        <w:outlineLvl w:val="0"/>
      </w:pPr>
      <w:r>
        <w:rPr>
          <w:sz w:val="48"/>
          <w:b/>
        </w:rPr>
        <w:t>福建省政府采购投标文件</w:t>
      </w:r>
    </w:p>
    <w:p>
      <w:pPr>
        <w:pStyle w:val="null3"/>
        <w:jc w:val="center"/>
        <w:outlineLvl w:val="0"/>
      </w:pPr>
      <w:r>
        <w:rPr>
          <w:sz w:val="48"/>
          <w:b/>
        </w:rPr>
        <w:t>（报价部分）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一、开标（报价）一览表</w:t>
      </w:r>
    </w:p>
    <w:p>
      <w:pPr>
        <w:pStyle w:val="null3"/>
        <w:ind w:firstLine="480"/>
        <w:jc w:val="left"/>
      </w:pPr>
      <w:r>
        <w:rPr/>
        <w:t>二、投标（响应）报价明细表</w:t>
      </w:r>
    </w:p>
    <w:p>
      <w:pPr>
        <w:pStyle w:val="null3"/>
        <w:ind w:firstLine="480"/>
        <w:jc w:val="left"/>
      </w:pPr>
      <w:r>
        <w:rPr/>
        <w:t>三、招标文件规定的价格扣除证明材料（若有）</w:t>
      </w:r>
    </w:p>
    <w:p>
      <w:pPr>
        <w:pStyle w:val="null3"/>
        <w:ind w:firstLine="480"/>
        <w:jc w:val="left"/>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[350201]wx[GK]2024043</w:t>
      </w:r>
    </w:p>
    <w:p>
      <w:pPr>
        <w:pStyle w:val="null3"/>
        <w:jc w:val="left"/>
      </w:pPr>
      <w:r>
        <w:rPr/>
        <w:t>项目名称：</w:t>
      </w:r>
      <w:r>
        <w:rPr/>
        <w:t>厦门市2025届高中毕业班二轮复习备考培训</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厦门市2025届高中毕业班二轮复习备考培训</w:t>
            </w:r>
          </w:p>
        </w:tc>
        <w:tc>
          <w:tcPr>
            <w:tcW w:type="dxa" w:w="1661"/>
          </w:tcPr>
          <w:p>
            <w:pPr>
              <w:pStyle w:val="null3"/>
              <w:jc w:val="left"/>
            </w:pPr>
            <w:r>
              <w:rPr/>
              <w:t xml:space="preserve"> 1186650.0000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[350201]wx[GK]2024043</w:t>
      </w:r>
    </w:p>
    <w:p>
      <w:pPr>
        <w:pStyle w:val="null3"/>
        <w:jc w:val="left"/>
      </w:pPr>
      <w:r>
        <w:rPr/>
        <w:t>项目名称：</w:t>
      </w:r>
      <w:r>
        <w:rPr/>
        <w:t>厦门市2025届高中毕业班二轮复习备考培训</w:t>
      </w:r>
    </w:p>
    <w:p>
      <w:pPr>
        <w:pStyle w:val="null3"/>
        <w:jc w:val="left"/>
      </w:pPr>
      <w:r>
        <w:rPr/>
        <w:t xml:space="preserve"> 厦门市2025届高中毕业班二轮复习备考培训</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t xml:space="preserve"> 序号</w:t>
            </w:r>
          </w:p>
        </w:tc>
        <w:tc>
          <w:tcPr>
            <w:tcW w:type="dxa" w:w="755"/>
          </w:tcPr>
          <w:p>
            <w:pPr>
              <w:pStyle w:val="null3"/>
              <w:jc w:val="left"/>
            </w:pPr>
            <w:r>
              <w:rPr/>
              <w:t xml:space="preserve"> 服务名称</w:t>
            </w:r>
          </w:p>
        </w:tc>
        <w:tc>
          <w:tcPr>
            <w:tcW w:type="dxa" w:w="755"/>
          </w:tcPr>
          <w:p>
            <w:pPr>
              <w:pStyle w:val="null3"/>
              <w:jc w:val="left"/>
            </w:pPr>
            <w:r>
              <w:rPr/>
              <w:t xml:space="preserve"> 服务范围</w:t>
            </w:r>
          </w:p>
        </w:tc>
        <w:tc>
          <w:tcPr>
            <w:tcW w:type="dxa" w:w="755"/>
          </w:tcPr>
          <w:p>
            <w:pPr>
              <w:pStyle w:val="null3"/>
              <w:jc w:val="left"/>
            </w:pPr>
            <w:r>
              <w:rPr/>
              <w:t xml:space="preserve"> 服务要求</w:t>
            </w:r>
          </w:p>
        </w:tc>
        <w:tc>
          <w:tcPr>
            <w:tcW w:type="dxa" w:w="755"/>
          </w:tcPr>
          <w:p>
            <w:pPr>
              <w:pStyle w:val="null3"/>
              <w:jc w:val="left"/>
            </w:pPr>
            <w:r>
              <w:rPr/>
              <w:t xml:space="preserve"> 服务时间</w:t>
            </w:r>
          </w:p>
        </w:tc>
        <w:tc>
          <w:tcPr>
            <w:tcW w:type="dxa" w:w="755"/>
          </w:tcPr>
          <w:p>
            <w:pPr>
              <w:pStyle w:val="null3"/>
              <w:jc w:val="left"/>
            </w:pPr>
            <w:r>
              <w:rPr/>
              <w:t xml:space="preserve"> 服务标准</w:t>
            </w:r>
          </w:p>
        </w:tc>
        <w:tc>
          <w:tcPr>
            <w:tcW w:type="dxa" w:w="755"/>
          </w:tcPr>
          <w:p>
            <w:pPr>
              <w:pStyle w:val="null3"/>
              <w:jc w:val="left"/>
            </w:pPr>
            <w:r>
              <w:rPr/>
              <w:t xml:space="preserve"> 最高限价</w:t>
            </w:r>
          </w:p>
        </w:tc>
        <w:tc>
          <w:tcPr>
            <w:tcW w:type="dxa" w:w="755"/>
          </w:tcPr>
          <w:p>
            <w:pPr>
              <w:pStyle w:val="null3"/>
              <w:jc w:val="left"/>
            </w:pPr>
            <w:r>
              <w:rPr/>
              <w:t xml:space="preserve"> 单价</w:t>
            </w:r>
          </w:p>
        </w:tc>
        <w:tc>
          <w:tcPr>
            <w:tcW w:type="dxa" w:w="755"/>
          </w:tcPr>
          <w:p>
            <w:pPr>
              <w:pStyle w:val="null3"/>
              <w:jc w:val="left"/>
            </w:pPr>
            <w:r>
              <w:rPr/>
              <w:t xml:space="preserve"> 数量</w:t>
            </w:r>
          </w:p>
        </w:tc>
        <w:tc>
          <w:tcPr>
            <w:tcW w:type="dxa" w:w="755"/>
          </w:tcPr>
          <w:p>
            <w:pPr>
              <w:pStyle w:val="null3"/>
              <w:jc w:val="left"/>
            </w:pPr>
            <w:r>
              <w:rPr/>
              <w:t xml:space="preserve"> 计量单位</w:t>
            </w:r>
          </w:p>
        </w:tc>
        <w:tc>
          <w:tcPr>
            <w:tcW w:type="dxa" w:w="755"/>
          </w:tcPr>
          <w:p>
            <w:pPr>
              <w:pStyle w:val="null3"/>
              <w:jc w:val="left"/>
            </w:pPr>
            <w:r>
              <w:rPr/>
              <w:t xml:space="preserve"> 总价</w:t>
            </w:r>
          </w:p>
        </w:tc>
      </w:tr>
      <w:tr>
        <w:tc>
          <w:tcPr>
            <w:tcW w:type="dxa" w:w="755"/>
          </w:tcPr>
          <w:p>
            <w:pPr>
              <w:pStyle w:val="null3"/>
              <w:jc w:val="left"/>
            </w:pPr>
            <w:r>
              <w:rPr/>
              <w:t xml:space="preserve"> 1</w:t>
            </w:r>
          </w:p>
        </w:tc>
        <w:tc>
          <w:tcPr>
            <w:tcW w:type="dxa" w:w="755"/>
          </w:tcPr>
          <w:p>
            <w:pPr>
              <w:pStyle w:val="null3"/>
              <w:jc w:val="left"/>
            </w:pPr>
            <w:r>
              <w:rPr/>
              <w:t xml:space="preserve"> 厦门市2025届高中毕业班二轮复习备考培训</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1186650.0000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pPr>
      <w:r>
        <w:rPr/>
        <w:t xml:space="preserve"> </w:t>
        <w:br/>
        <w:br w:type="page"/>
      </w:r>
    </w:p>
    <w:p>
      <w:pPr>
        <w:pStyle w:val="null3"/>
        <w:jc w:val="center"/>
        <w:outlineLvl w:val="2"/>
      </w:pPr>
      <w:r>
        <w:rPr>
          <w:sz w:val="28"/>
          <w:b/>
        </w:rPr>
        <w:t>三、招标文件规定的价格扣除证明材料（若有）</w:t>
      </w:r>
    </w:p>
    <w:p>
      <w:pPr>
        <w:pStyle w:val="null3"/>
        <w:jc w:val="center"/>
        <w:outlineLvl w:val="3"/>
      </w:pPr>
      <w:r>
        <w:rPr>
          <w:sz w:val="24"/>
          <w:b/>
        </w:rPr>
        <w:t>三-1优先类节能产品、环境标志产品价格扣除证明材料（若有）</w:t>
      </w:r>
    </w:p>
    <w:p>
      <w:pPr>
        <w:pStyle w:val="null3"/>
        <w:jc w:val="center"/>
        <w:outlineLvl w:val="3"/>
      </w:pPr>
      <w:r>
        <w:rPr>
          <w:sz w:val="24"/>
          <w:b/>
        </w:rPr>
        <w:t>三-1-①优先类节能产品、环境标志产品统计表（价格扣除适用，若有）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1、对节能、环境标志产品计算价格扣除时，只依据电子投标（响应）文件“投标（响应）报价明细表”以及“优先类节能产品、环境标志产品证明材料（价格扣除适用，若有）。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三-1-②优先类节能产品、环境标志产品证明材料（价格扣除适用，若有）</w:t>
      </w:r>
    </w:p>
    <w:p>
      <w:pPr>
        <w:pStyle w:val="null3"/>
        <w:jc w:val="center"/>
        <w:outlineLvl w:val="3"/>
      </w:pPr>
      <w:r>
        <w:rPr>
          <w:sz w:val="24"/>
          <w:b/>
        </w:rPr>
        <w:t>三-2小型、微型企业产品等价格扣除证明材料（若有）</w:t>
      </w:r>
    </w:p>
    <w:p>
      <w:pPr>
        <w:pStyle w:val="null3"/>
        <w:jc w:val="center"/>
        <w:outlineLvl w:val="3"/>
      </w:pPr>
      <w:r>
        <w:rPr>
          <w:sz w:val="24"/>
          <w:b/>
        </w:rPr>
        <w:t>三-2-①中小企业声明函（价格扣除适用，若有）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三-2-②小型、微型企业等证明材料（价格扣除适用，若有）</w:t>
      </w:r>
    </w:p>
    <w:p>
      <w:pPr>
        <w:pStyle w:val="null3"/>
        <w:ind w:firstLine="480"/>
        <w:jc w:val="center"/>
      </w:pPr>
      <w:r>
        <w:rPr/>
        <w:t>编制说明</w:t>
      </w:r>
    </w:p>
    <w:p>
      <w:pPr>
        <w:pStyle w:val="null3"/>
        <w:ind w:firstLine="480"/>
        <w:jc w:val="left"/>
      </w:pPr>
      <w:r>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sz w:val="24"/>
          <w:b/>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sz w:val="28"/>
          <w:b/>
        </w:rPr>
        <w:t>封面格式(技术商务部分)</w:t>
      </w:r>
    </w:p>
    <w:p>
      <w:pPr>
        <w:pStyle w:val="null3"/>
        <w:jc w:val="center"/>
        <w:outlineLvl w:val="0"/>
      </w:pPr>
      <w:r>
        <w:rPr>
          <w:sz w:val="48"/>
          <w:b/>
        </w:rPr>
        <w:t>福建省政府采购投标文件</w:t>
      </w:r>
    </w:p>
    <w:p>
      <w:pPr>
        <w:pStyle w:val="null3"/>
        <w:jc w:val="center"/>
        <w:outlineLvl w:val="0"/>
      </w:pPr>
      <w:r>
        <w:rPr>
          <w:sz w:val="48"/>
          <w:b/>
        </w:rPr>
        <w:t>（技术商务部分）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sz w:val="28"/>
          <w:b/>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